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needs far more memory than running it.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any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many small and medium repositories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 desktop offers. Parameter-efficient fine-tuning trains a small set of extra parameters instead, bringing the memory needed within reach of a high-end workstation. Whether this improves software engineering in a modern 27B model without losing long-context ability is an open question;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about half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training on shorter examples could weaken long-range behaviour in ways simple tests miss </w:t>
      </w:r>
      <w:fldSimple w:instr=" REF _RefAnneal3 \r \h ">
        <w:r>
          <w:t xml:space="preserve">[3]</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may learn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a held-out six-language coding test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HumanEval+ and MBPP+,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4 \r \h ">
        <w:r>
          <w:t xml:space="preserve">[4]</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then the technologies used.</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4 \r \h ">
        <w:r>
          <w:t xml:space="preserve">[4]</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suggested Anneal's budget was workable, which Section 3.1 confirms by measurement.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5 \r \h ">
        <w:r>
          <w:t xml:space="preserve">[5]</w:t>
        </w:r>
      </w:fldSimple>
      <w:r>
        <w:t xml:space="preserve">, Anneal starts from the pre-quantised checkpoint Unsloth's guide uses for QLoRA </w:t>
      </w:r>
      <w:fldSimple w:instr=" REF _RefAnneal6 \r \h ">
        <w:r>
          <w:t xml:space="preserve">[6]</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7 \r \h ">
        <w:r>
          <w:t xml:space="preserve">[7]</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though not tested at long context, gives some hope that long-context ability survives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8 \r \h ">
        <w:r>
          <w:t xml:space="preserve">[8]</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directly. Two lessons do: which layers an adapter trains changes long-range results, so retention must be tested, and if it fails, long examples or trainable normalisation layers are remedies to try (ablation A4).</w:t>
      </w:r>
    </w:p>
    <w:p>
      <w:pPr>
        <w:pStyle w:val="Heading3"/>
      </w:pPr>
      <w:r>
        <w:t xml:space="preserve">Measuring Effective Context</w:t>
      </w:r>
    </w:p>
    <w:p>
      <w:pPr>
        <w:pStyle w:val="BodyFirst"/>
      </w:pPr>
      <w:r>
        <w:t xml:space="preserve">Hsieh et al. </w:t>
      </w:r>
      <w:fldSimple w:instr=" REF _RefAnneal3 \r \h ">
        <w:r>
          <w:t xml:space="preserve">[3]</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more closely than single-function benchmarks.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the 500 Verified tasks would likely take days per system, so Anneal instead borrows SWE-bench's execution-based design for a personal set of repository-scale tasks drawn from the author's own code, which public models are less likely to have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6 \r \h ">
              <w:r>
                <w:rPr>
                  <w:sz w:val="20"/>
                </w:rPr>
                <w:t xml:space="preserve">[6]</w:t>
              </w:r>
            </w:fldSimple>
            <w:r>
              <w:rPr>
                <w:sz w:val="20"/>
              </w:rPr>
              <w:t xml:space="preserve">. Plain PEFT </w:t>
            </w:r>
            <w:fldSimple w:instr=" REF _RefAnneal14 \r \h ">
              <w:r>
                <w:rPr>
                  <w:sz w:val="20"/>
                </w:rPr>
                <w:t xml:space="preserve">[14]</w:t>
              </w:r>
            </w:fldSimple>
            <w:r>
              <w:rPr>
                <w:sz w:val="20"/>
              </w:rPr>
              <w:t xml:space="preserve"> would need 40 to 46 GiB (Table 2);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CodeContests; LiveCodeBench; SWE-bench Verified</w:t>
            </w:r>
          </w:p>
        </w:tc>
        <w:tc>
          <w:tcPr>
            <w:tcW w:w="3996" w:type="dxa"/>
          </w:tcPr>
          <w:p>
            <w:pPr>
              <w:pStyle w:val="BodyText"/>
              <w:keepNext/>
              <w:spacing w:before="20" w:after="20"/>
              <w:jc w:val="left"/>
            </w:pPr>
            <w:r>
              <w:rPr>
                <w:sz w:val="20"/>
              </w:rPr>
              <w:t xml:space="preserve">A six-language CodeContests test (Section 3.3) as the primary measure, since the base passes 97% of HumanEval; EvalPlus </w:t>
            </w:r>
            <w:fldSimple w:instr=" REF _RefAnneal16 \r \h ">
              <w:r>
                <w:rPr>
                  <w:sz w:val="20"/>
                </w:rPr>
                <w:t xml:space="preserve">[16]</w:t>
              </w:r>
            </w:fldSimple>
            <w:r>
              <w:rPr>
                <w:sz w:val="20"/>
              </w:rPr>
              <w:t xml:space="preserve"> HumanEval+ and MBPP+ (542 problems) check for regressions; post-release LiveCodeBench </w:t>
            </w:r>
            <w:fldSimple w:instr=" REF _RefAnneal17 \r \h ">
              <w:r>
                <w:rPr>
                  <w:sz w:val="20"/>
                </w:rPr>
                <w:t xml:space="preserve">[17]</w:t>
              </w:r>
            </w:fldSimple>
            <w:r>
              <w:rPr>
                <w:sz w:val="20"/>
              </w:rPr>
              <w:t xml:space="preserve"> problems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public agent-session sets lack raw reasoning; API-generated rows are not public; SWE-Gym </w:t>
            </w:r>
            <w:fldSimple w:instr=" REF _RefAnneal25 \r \h ">
              <w:r>
                <w:rPr>
                  <w:sz w:val="20"/>
                </w:rPr>
                <w:t xml:space="preserve">[25]</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It was brought up on the training machine in October 2026; the first run, round 0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w:t>
      </w:r>
      <w:r>
        <w:rPr>
          <w:rFonts w:ascii="Consolas" w:hAnsi="Consolas" w:cs="Consolas"/>
          <w:sz w:val="19"/>
        </w:rPr>
        <w:t xml:space="preserve">measure_memory.py</w:t>
      </w:r>
      <w:r>
        <w:t xml:space="preserve"> measures real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6 \r \h ">
        <w:r>
          <w:t xml:space="preserve">[26]</w:t>
        </w:r>
      </w:fldSimple>
      <w:r>
        <w:t xml:space="preserve">, is estimated to shrink this model's loss from 12.6 GiB to 0.5 GiB.</w:t>
      </w:r>
    </w:p>
    <w:p>
      <w:pPr>
        <w:pStyle w:val="BodyText"/>
      </w:pPr>
      <w:r>
        <w:t xml:space="preserve">Table 2 decided the precision: neither base would fit without Unsloth's optimisations, and with them an 8-bit base would barely fit while a 4-bit base leaves room for longer rows. Ablation A5 measures the 4-bit cost.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could reinforce its biases. Every row must carry its teacher's real reasoning, and the teacher must match or beat Qwen3.8-27B on the same-harness Vals AI board for that task. Each round takes 45%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30% from test-passed Linux terminal runs by GLM-5.3 </w:t>
      </w:r>
      <w:fldSimple w:instr=" REF _RefAnneal21 \r \h ">
        <w:r>
          <w:t xml:space="preserve">[21]</w:t>
        </w:r>
      </w:fldSimple>
      <w:r>
        <w:t xml:space="preserve"> (Terminal-Bench 71.5);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0 \r \h ">
        <w:r>
          <w:t xml:space="preserve">[30]</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can miss </w:t>
      </w:r>
      <w:fldSimple w:instr=" REF _RefAnneal31 \r \h ">
        <w:r>
          <w:t xml:space="preserve">[31]</w:t>
        </w:r>
      </w:fldSimple>
      <w:r>
        <w:t xml:space="preserve">; in the first pools it flagged 33 of 15,276 rows without measurably slowing training.</w:t>
      </w:r>
    </w:p>
    <w:p>
      <w:pPr>
        <w:pStyle w:val="BodyText"/>
      </w:pPr>
      <w:r>
        <w:t xml:space="preserve">The first run, round 0, is a comparison run: 500 base-model answers to OpenCodeInstruct </w:t>
      </w:r>
      <w:fldSimple w:instr=" REF _RefAnneal32 \r \h ">
        <w:r>
          <w:t xml:space="preserve">[32]</w:t>
        </w:r>
      </w:fldSimple>
      <w:r>
        <w:t xml:space="preserve"> prompts that passed their tests, as in ReST-EM </w:t>
      </w:r>
      <w:fldSimple w:instr=" REF _RefAnneal33 \r \h ">
        <w:r>
          <w:t xml:space="preserve">[33]</w:t>
        </w:r>
      </w:fldSimple>
      <w:r>
        <w:t xml:space="preserve">, plus 1,500 OpenCodeReasoning rows, whose DeepSeek-R1 teacher scores 63.5 on LiveCodeBench </w:t>
      </w:r>
      <w:fldSimple w:instr=" REF _RefAnneal34 \r \h ">
        <w:r>
          <w:t xml:space="preserve">[34]</w:t>
        </w:r>
      </w:fldSimple>
      <w:r>
        <w:t xml:space="preserve">, probably below the base, though not measured like-for-like.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5 \r \h ">
        <w:r>
          <w:t xml:space="preserve">[35]</w:t>
        </w:r>
      </w:fldSimple>
      <w:r>
        <w:t xml:space="preserve">. Each round is scored on a held-out six-language gate of 495 decontaminated CodeContests </w:t>
      </w:r>
      <w:fldSimple w:instr=" REF _RefAnneal36 \r \h ">
        <w:r>
          <w:t xml:space="preserve">[36]</w:t>
        </w:r>
      </w:fldSimple>
      <w:r>
        <w:t xml:space="preserve"> items, never trained on: write a program in C++, Java, Go, Rust, JavaScript or TypeScript (286), or fix a wrong C++ or Java submission (209), each run on up to 30 tests. A round is kept if a one-sided exact sign test against the best adapter gives p ≤ 0.05, or if its score is no lower and its loss on 177 held-out bug-fix steps or on held-out terminal steps falls on significantly more steps than it rises (corrected for two tests), since contest items cannot see what those rows teach. These losses measure closeness to reference answers, not solved tasks. Either way, neither part nor 100 MMLU-Pro </w:t>
      </w:r>
      <w:fldSimple w:instr=" REF _RefAnneal37 \r \h ">
        <w:r>
          <w:t xml:space="preserve">[37]</w:t>
        </w:r>
      </w:fldSimple>
      <w:r>
        <w:t xml:space="preserve"> questions outside computing may drop by over 5 points or significantly, a round that passes must show no real drop on EvalPlus, and a fresh-seed re-score becomes the new reference. Unless a loss is clearly lower, a round stops, rejected, after a random third of the items if not ahead of the best (in simulation, about a third less test time for 5 to 7% fewer real keeps). A rejected round's rows roll into the next attempt, up to 3,000 new rows, because a real 2-point gain passes the gate only an estimated 24 to 44% of the time.</w:t>
      </w:r>
    </w:p>
    <w:p>
      <w:pPr>
        <w:pStyle w:val="BodyText"/>
      </w:pPr>
      <w:r>
        <w:rPr>
          <w:rFonts w:ascii="Consolas" w:hAnsi="Consolas" w:cs="Consolas"/>
          <w:sz w:val="19"/>
        </w:rPr>
        <w:t xml:space="preserve">train_longrun.py</w:t>
      </w:r>
      <w:r>
        <w:t xml:space="preserve"> uses a warmup-stable-decay schedule </w:t>
      </w:r>
      <w:fldSimple w:instr=" REF _RefAnneal38 \r \h ">
        <w:r>
          <w:t xml:space="preserve">[38]</w:t>
        </w:r>
      </w:fldSimple>
      <w:r>
        <w:t xml:space="preserve"> (20 warm-up steps, decay over the last 20%).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including a unit-test filter that passed every answer and targets that missed the 48 DeltaNet layers' projections.</w:t>
      </w:r>
    </w:p>
    <w:p>
      <w:pPr>
        <w:pStyle w:val="Heading2"/>
      </w:pPr>
      <w:r>
        <w:t xml:space="preserve">Bring-up and First Run</w:t>
      </w:r>
    </w:p>
    <w:p>
      <w:pPr>
        <w:pStyle w:val="BodyFirst"/>
      </w:pPr>
      <w:r>
        <w:t xml:space="preserve">Bring-up and the first run raised the issues in Table 3. The run trained on 7.40 million tokens at about 100 tokens per second, and held-out loss fell from 0.593 to 0.498. Over all 542 EvalPlus problems with extra tests the base scored 86.2% and the adapter 85.4% (−0.7 points, 95% CI −2.6 to +1.1, p = 0.57); HumanEval+ rose 1.8 points and MBPP+ fell 1.9, neither significant, and leaving out five unreliable or overlapping problems does not change this. So there was no significant regression, and no measurable gain this near the ceiling (base 97% on HumanEval); a probably weaker teacher may also have contributed. EvalPlus is therefore now only a regression check.</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Calibration chose four parallel requests without multi-token prediction (MTP) for throughput; a 542-problem pass takes 10 to 12 hours.</w:t>
      </w:r>
    </w:p>
    <w:p>
      <w:pPr>
        <w:pStyle w:val="BodyText"/>
      </w:pPr>
      <w:r>
        <w:t xml:space="preserve">The adapter is converted alone to GGUF and loaded over the same base, avoiding a 55 GB merged model. Trained against NF4 but served over Q4_K_M, a smoke-test adapter gave close losses (0.756 in training, 0.728 in llama.cpp, 96% top-1 agreement), suggesting the adapter carries over to the deployed base.</w:t>
      </w:r>
    </w:p>
    <w:p>
      <w:pPr>
        <w:pStyle w:val="Heading2"/>
      </w:pPr>
      <w:r>
        <w:t xml:space="preserve">Critical Assessment</w:t>
      </w:r>
    </w:p>
    <w:p>
      <w:pPr>
        <w:pStyle w:val="BodyFirst"/>
      </w:pPr>
      <w:r>
        <w:t xml:space="preserve">Measuring first helped: the parity test caught a wrong fix before any real run used it. Speed and memory were measured only at rank 16. One gate pass takes about two days, which limits how many rounds fit. With 20 to 50 personal tasks, confidence intervals will be wide. Round 0 showed that a working pipeline can still fail to improve a strong base, and that near-ceiling Python benchmarks cannot show small gains.</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caps reasoning at 16,384 tokens on the gate and 32,768 on EvalPlus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Six-language test pass@1, mean of three seeds (primary); held-out bug-fix and terminal loss; post-August-2026 LiveCodeBench; 20 to 50 personal tasks</w:t>
            </w:r>
          </w:p>
        </w:tc>
        <w:tc>
          <w:tcPr>
            <w:tcW w:w="3196" w:type="dxa"/>
          </w:tcPr>
          <w:p>
            <w:pPr>
              <w:pStyle w:val="BodyText"/>
              <w:keepNext/>
              <w:spacing w:before="20" w:after="20"/>
              <w:jc w:val="left"/>
            </w:pPr>
            <w:r>
              <w:rPr>
                <w:sz w:val="20"/>
              </w:rPr>
              <w:t xml:space="preserve">A beats B on the six-language test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HumanEval+ and MBPP+, 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and held-out losses of every round;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should narrow it. As the gate also selects adapters, its final gain may be inflated; LiveCodeBench and the personal tasks, which select nothing, check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9 \r \h ">
        <w:r>
          <w:t xml:space="preserve">[39]</w:t>
        </w:r>
      </w:fldSimple>
      <w:r>
        <w:t xml:space="preserve">, and LoRA learns less than full fine-tuning and forgets more the longer it trains </w:t>
      </w:r>
      <w:fldSimple w:instr=" REF _RefAnneal7 \r \h ">
        <w:r>
          <w:t xml:space="preserve">[7]</w:t>
        </w:r>
      </w:fldSimple>
      <w:r>
        <w:t xml:space="preserve">. Round 0, three-quarters from a probably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has started from the base model.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longer rows tested; loop started.</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4">
        <w:r>
          <w:rPr>
            <w:color w:val="0563C1"/>
            <w:u w:val="single"/>
          </w:rPr>
          <w:t xml:space="preserve">https://arxiv.org/abs/2404.06654</w:t>
        </w:r>
      </w:hyperlink>
      <w:bookmarkEnd w:id="903"/>
    </w:p>
    <w:p>
      <w:pPr>
        <w:pStyle w:val="Reference"/>
        <w:tabs>
          <w:tab w:val="clear" w:pos="426"/>
          <w:tab w:val="num" w:pos="567"/>
        </w:tabs>
        <w:ind w:left="567" w:hanging="567"/>
        <w:jc w:val="left"/>
      </w:pPr>
      <w:bookmarkStart w:id="904" w:name="_RefAnneal4"/>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5">
        <w:r>
          <w:rPr>
            <w:color w:val="0563C1"/>
            <w:u w:val="single"/>
          </w:rPr>
          <w:t xml:space="preserve">https://arxiv.org/abs/2106.09685</w:t>
        </w:r>
      </w:hyperlink>
      <w:bookmarkEnd w:id="904"/>
    </w:p>
    <w:p>
      <w:pPr>
        <w:pStyle w:val="Reference"/>
        <w:tabs>
          <w:tab w:val="clear" w:pos="426"/>
          <w:tab w:val="num" w:pos="567"/>
        </w:tabs>
        <w:ind w:left="567" w:hanging="567"/>
        <w:jc w:val="left"/>
      </w:pPr>
      <w:bookmarkStart w:id="905" w:name="_RefAnneal5"/>
      <w:r>
        <w:t xml:space="preserve">Unsloth, "Qwen3.5 fine-tuning guide," Unsloth documentation, 2026. </w:t>
      </w:r>
      <w:r>
        <w:t xml:space="preserve">[Online]. Available: </w:t>
      </w:r>
      <w:hyperlink r:id="rId26">
        <w:r>
          <w:rPr>
            <w:color w:val="0563C1"/>
            <w:u w:val="single"/>
          </w:rPr>
          <w:t xml:space="preserve">https://unsloth.ai/docs/models/qwen3.5/fine-tune</w:t>
        </w:r>
      </w:hyperlink>
      <w:r>
        <w:t xml:space="preserve"> (accessed Oct. 17, 2026).</w:t>
      </w:r>
      <w:bookmarkEnd w:id="905"/>
    </w:p>
    <w:p>
      <w:pPr>
        <w:pStyle w:val="Reference"/>
        <w:tabs>
          <w:tab w:val="clear" w:pos="426"/>
          <w:tab w:val="num" w:pos="567"/>
        </w:tabs>
        <w:ind w:left="567" w:hanging="567"/>
        <w:jc w:val="left"/>
      </w:pPr>
      <w:bookmarkStart w:id="906" w:name="_RefAnneal6"/>
      <w:r>
        <w:t xml:space="preserve">Unsloth, "Qwen3.8: How to fine-tune," Unsloth documentation, 2026. </w:t>
      </w:r>
      <w:r>
        <w:t xml:space="preserve">[Online]. Available: </w:t>
      </w:r>
      <w:hyperlink r:id="rId27">
        <w:r>
          <w:rPr>
            <w:color w:val="0563C1"/>
            <w:u w:val="single"/>
          </w:rPr>
          <w:t xml:space="preserve">https://unsloth.ai/docs/models/qwen3.8/train</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8">
        <w:r>
          <w:rPr>
            <w:color w:val="0563C1"/>
            <w:u w:val="single"/>
          </w:rPr>
          <w:t xml:space="preserve">https://arxiv.org/abs/2405.09673</w:t>
        </w:r>
      </w:hyperlink>
      <w:bookmarkEnd w:id="907"/>
    </w:p>
    <w:p>
      <w:pPr>
        <w:pStyle w:val="Reference"/>
        <w:tabs>
          <w:tab w:val="clear" w:pos="426"/>
          <w:tab w:val="num" w:pos="567"/>
        </w:tabs>
        <w:ind w:left="567" w:hanging="567"/>
        <w:jc w:val="left"/>
      </w:pPr>
      <w:bookmarkStart w:id="908" w:name="_RefAnneal8"/>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9">
        <w:r>
          <w:rPr>
            <w:color w:val="0563C1"/>
            <w:u w:val="single"/>
          </w:rPr>
          <w:t xml:space="preserve">https://arxiv.org/abs/2309.12307</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NVIDIA, "Nemotron-SFT-Math-v4," Hugging Face dataset card, 2026. </w:t>
      </w:r>
      <w:r>
        <w:t xml:space="preserve">[Online]. Available: </w:t>
      </w:r>
      <w:hyperlink r:id="rId51">
        <w:r>
          <w:rPr>
            <w:color w:val="0563C1"/>
            <w:u w:val="single"/>
          </w:rPr>
          <w:t xml:space="preserve">https://huggingface.co/datasets/nvidia/Nemotron-SFT-Math-v4</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S. Yang, W.-L. Chiang, L. Zheng, J. E. Gonzalez, and I. Stoica, "Rethinking benchmark and contamination for language models with rephrased samples," arXiv preprint arXiv:2311.04850, 2023. </w:t>
      </w:r>
      <w:r>
        <w:t xml:space="preserve">[Online]. Available: </w:t>
      </w:r>
      <w:hyperlink r:id="rId52">
        <w:r>
          <w:rPr>
            <w:color w:val="0563C1"/>
            <w:u w:val="single"/>
          </w:rPr>
          <w:t xml:space="preserve">https://arxiv.org/abs/2311.04850</w:t>
        </w:r>
      </w:hyperlink>
      <w:bookmarkEnd w:id="931"/>
    </w:p>
    <w:p>
      <w:pPr>
        <w:pStyle w:val="Reference"/>
        <w:tabs>
          <w:tab w:val="clear" w:pos="426"/>
          <w:tab w:val="num" w:pos="567"/>
        </w:tabs>
        <w:ind w:left="567" w:hanging="567"/>
        <w:jc w:val="left"/>
      </w:pPr>
      <w:bookmarkStart w:id="932" w:name="_RefAnneal32"/>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3">
        <w:r>
          <w:rPr>
            <w:color w:val="0563C1"/>
            <w:u w:val="single"/>
          </w:rPr>
          <w:t xml:space="preserve">https://arxiv.org/abs/2504.04030</w:t>
        </w:r>
      </w:hyperlink>
      <w:bookmarkEnd w:id="932"/>
    </w:p>
    <w:p>
      <w:pPr>
        <w:pStyle w:val="Reference"/>
        <w:tabs>
          <w:tab w:val="clear" w:pos="426"/>
          <w:tab w:val="num" w:pos="567"/>
        </w:tabs>
        <w:ind w:left="567" w:hanging="567"/>
        <w:jc w:val="left"/>
      </w:pPr>
      <w:bookmarkStart w:id="933" w:name="_RefAnneal33"/>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4">
        <w:r>
          <w:rPr>
            <w:color w:val="0563C1"/>
            <w:u w:val="single"/>
          </w:rPr>
          <w:t xml:space="preserve">https://arxiv.org/abs/2312.06585</w:t>
        </w:r>
      </w:hyperlink>
      <w:bookmarkEnd w:id="933"/>
    </w:p>
    <w:p>
      <w:pPr>
        <w:pStyle w:val="Reference"/>
        <w:tabs>
          <w:tab w:val="clear" w:pos="426"/>
          <w:tab w:val="num" w:pos="567"/>
        </w:tabs>
        <w:ind w:left="567" w:hanging="567"/>
        <w:jc w:val="left"/>
      </w:pPr>
      <w:bookmarkStart w:id="934" w:name="_RefAnneal34"/>
      <w:r>
        <w:t xml:space="preserve">DeepSeek-AI, "DeepSeek-R1-0528," Hugging Face model card, 2025. </w:t>
      </w:r>
      <w:r>
        <w:t xml:space="preserve">[Online]. Available: </w:t>
      </w:r>
      <w:hyperlink r:id="rId55">
        <w:r>
          <w:rPr>
            <w:color w:val="0563C1"/>
            <w:u w:val="single"/>
          </w:rPr>
          <w:t xml:space="preserve">https://huggingface.co/deepseek-ai/DeepSeek-R1-0528</w:t>
        </w:r>
      </w:hyperlink>
      <w:r>
        <w:t xml:space="preserve"> (accessed Oct. 17, 2026).</w:t>
      </w:r>
      <w:bookmarkEnd w:id="934"/>
    </w:p>
    <w:p>
      <w:pPr>
        <w:pStyle w:val="Reference"/>
        <w:tabs>
          <w:tab w:val="clear" w:pos="426"/>
          <w:tab w:val="num" w:pos="567"/>
        </w:tabs>
        <w:ind w:left="567" w:hanging="567"/>
        <w:jc w:val="left"/>
      </w:pPr>
      <w:bookmarkStart w:id="935" w:name="_RefAnneal35"/>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6">
        <w:r>
          <w:rPr>
            <w:color w:val="0563C1"/>
            <w:u w:val="single"/>
          </w:rPr>
          <w:t xml:space="preserve">https://arxiv.org/abs/2403.08763</w:t>
        </w:r>
      </w:hyperlink>
      <w:bookmarkEnd w:id="935"/>
    </w:p>
    <w:p>
      <w:pPr>
        <w:pStyle w:val="Reference"/>
        <w:tabs>
          <w:tab w:val="clear" w:pos="426"/>
          <w:tab w:val="num" w:pos="567"/>
        </w:tabs>
        <w:ind w:left="567" w:hanging="567"/>
        <w:jc w:val="left"/>
      </w:pPr>
      <w:bookmarkStart w:id="936" w:name="_RefAnneal36"/>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7">
        <w:r>
          <w:rPr>
            <w:color w:val="0563C1"/>
            <w:u w:val="single"/>
          </w:rPr>
          <w:t xml:space="preserve">https://arxiv.org/abs/2203.07814</w:t>
        </w:r>
      </w:hyperlink>
      <w:bookmarkEnd w:id="936"/>
    </w:p>
    <w:p>
      <w:pPr>
        <w:pStyle w:val="Reference"/>
        <w:tabs>
          <w:tab w:val="clear" w:pos="426"/>
          <w:tab w:val="num" w:pos="567"/>
        </w:tabs>
        <w:ind w:left="567" w:hanging="567"/>
        <w:jc w:val="left"/>
      </w:pPr>
      <w:bookmarkStart w:id="937" w:name="_RefAnneal37"/>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8">
        <w:r>
          <w:rPr>
            <w:color w:val="0563C1"/>
            <w:u w:val="single"/>
          </w:rPr>
          <w:t xml:space="preserve">https://arxiv.org/abs/2406.01574</w:t>
        </w:r>
      </w:hyperlink>
      <w:bookmarkEnd w:id="937"/>
    </w:p>
    <w:p>
      <w:pPr>
        <w:pStyle w:val="Reference"/>
        <w:tabs>
          <w:tab w:val="clear" w:pos="426"/>
          <w:tab w:val="num" w:pos="567"/>
        </w:tabs>
        <w:ind w:left="567" w:hanging="567"/>
        <w:jc w:val="left"/>
      </w:pPr>
      <w:bookmarkStart w:id="938" w:name="_RefAnneal38"/>
      <w:r>
        <w:t xml:space="preserve">A. Hägele, E. Bakouch, A. Kosson, L. Ben Allal, L. Von Werra, and M. Jaggi, "Scaling laws and compute-optimal training beyond fixed training durations," arXiv preprint arXiv:2405.18392, 2024. </w:t>
      </w:r>
      <w:r>
        <w:t xml:space="preserve">[Online]. Available: </w:t>
      </w:r>
      <w:hyperlink r:id="rId59">
        <w:r>
          <w:rPr>
            <w:color w:val="0563C1"/>
            <w:u w:val="single"/>
          </w:rPr>
          <w:t xml:space="preserve">https://arxiv.org/abs/2405.18392</w:t>
        </w:r>
      </w:hyperlink>
      <w:bookmarkEnd w:id="938"/>
    </w:p>
    <w:p>
      <w:pPr>
        <w:pStyle w:val="Reference"/>
        <w:tabs>
          <w:tab w:val="clear" w:pos="426"/>
          <w:tab w:val="num" w:pos="567"/>
        </w:tabs>
        <w:ind w:left="567" w:hanging="567"/>
        <w:jc w:val="left"/>
      </w:pPr>
      <w:bookmarkStart w:id="939" w:name="_RefAnneal39"/>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60">
        <w:r>
          <w:rPr>
            <w:color w:val="0563C1"/>
            <w:u w:val="single"/>
          </w:rPr>
          <w:t xml:space="preserve">https://arxiv.org/abs/2308.01825</w:t>
        </w:r>
      </w:hyperlink>
      <w:bookmarkEnd w:id="93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404.06654" TargetMode="External"/><Relationship Id="rId25" Type="http://schemas.openxmlformats.org/officeDocument/2006/relationships/hyperlink" Target="https://arxiv.org/abs/2106.09685" TargetMode="External"/><Relationship Id="rId26" Type="http://schemas.openxmlformats.org/officeDocument/2006/relationships/hyperlink" Target="https://unsloth.ai/docs/models/qwen3.5/fine-tune" TargetMode="External"/><Relationship Id="rId27" Type="http://schemas.openxmlformats.org/officeDocument/2006/relationships/hyperlink" Target="https://unsloth.ai/docs/models/qwen3.8/train" TargetMode="External"/><Relationship Id="rId28" Type="http://schemas.openxmlformats.org/officeDocument/2006/relationships/hyperlink" Target="https://arxiv.org/abs/2405.09673" TargetMode="External"/><Relationship Id="rId29" Type="http://schemas.openxmlformats.org/officeDocument/2006/relationships/hyperlink" Target="https://arxiv.org/abs/2309.12307"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huggingface.co/datasets/nvidia/Nemotron-SFT-Math-v4" TargetMode="External"/><Relationship Id="rId52" Type="http://schemas.openxmlformats.org/officeDocument/2006/relationships/hyperlink" Target="https://arxiv.org/abs/2311.04850" TargetMode="External"/><Relationship Id="rId53" Type="http://schemas.openxmlformats.org/officeDocument/2006/relationships/hyperlink" Target="https://arxiv.org/abs/2504.04030" TargetMode="External"/><Relationship Id="rId54" Type="http://schemas.openxmlformats.org/officeDocument/2006/relationships/hyperlink" Target="https://arxiv.org/abs/2312.06585" TargetMode="External"/><Relationship Id="rId55" Type="http://schemas.openxmlformats.org/officeDocument/2006/relationships/hyperlink" Target="https://huggingface.co/deepseek-ai/DeepSeek-R1-0528" TargetMode="External"/><Relationship Id="rId56" Type="http://schemas.openxmlformats.org/officeDocument/2006/relationships/hyperlink" Target="https://arxiv.org/abs/2403.08763" TargetMode="External"/><Relationship Id="rId57" Type="http://schemas.openxmlformats.org/officeDocument/2006/relationships/hyperlink" Target="https://arxiv.org/abs/2203.07814" TargetMode="External"/><Relationship Id="rId58" Type="http://schemas.openxmlformats.org/officeDocument/2006/relationships/hyperlink" Target="https://arxiv.org/abs/2406.01574" TargetMode="External"/><Relationship Id="rId59" Type="http://schemas.openxmlformats.org/officeDocument/2006/relationships/hyperlink" Target="https://arxiv.org/abs/2405.18392" TargetMode="External"/><Relationship Id="rId60"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2026-10-21T19:28:48Z</dcterms:modified>
</cp:coreProperties>
</file>