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26611F8E" w14:textId="6767414E" w:rsidR="00E84BF3" w:rsidRDefault="00E657B1">
      <w:pPr>
        <w:pStyle w:val="Date"/>
        <w:spacing w:before="216"/>
        <w:rPr>
          <w:i/>
        </w:rPr>
      </w:pPr>
      <w:r>
        <w:rPr/>
        <w:t xml:space="preserve">I used Claude as an AI assistant to monitor training and to help with document creation.</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normally needs datacentre hardware. This project, Anneal, investigates whether a low-rank adapter (LoRA) trained only on public datasets can measurably improve the software-development ability of the open-weight Qwen3.8-27B model, when training must fit within the 32 GB of memory allocated to the GPU of one AMD machine and the adapted model must keep its 256k-token context window, and how that gain changes as a months-long improvement loop adds data.</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a medium-sized repository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any desktop offers. Parameter-efficient fine-tuning trains a small set of extra parameters instead, bringing the memory needed within reach of a high-end workstation. Whether this improves software engineering in a modern 27B model without losing long-context ability has not been established;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most of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12,288 tokens, and short-example fine-tuning risks dulling long-range behaviour unnoticed </w:t>
      </w:r>
      <w:fldSimple w:instr=" REF _RefAnneal3 \r \h ">
        <w:r>
          <w:t xml:space="preserve">[3]</w:t>
        </w:r>
      </w:fldSimple>
      <w:r>
        <w:t xml:space="preserve">, </w:t>
      </w:r>
      <w:fldSimple w:instr=" REF _RefAnneal4 \r \h ">
        <w:r>
          <w:t xml:space="preserve">[4]</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learns to skip reasoning. Data must come from public datasets licensed for training, written by a teacher at least as strong as the base,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12,288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licence-checked public training sets with reasoning traces, decontaminated against every gate and evaluation set and documented in a data card, before each set's first loop round.</w:t>
      </w:r>
    </w:p>
    <w:p>
      <w:pPr>
        <w:pStyle w:val="BodyText"/>
        <w:tabs>
          <w:tab w:val="left" w:pos="567"/>
        </w:tabs>
        <w:spacing w:after="60"/>
        <w:ind w:left="567" w:hanging="567"/>
      </w:pPr>
      <w:r>
        <w:rPr>
          <w:b/>
        </w:rPr>
        <w:t xml:space="preserve">O3</w:t>
      </w:r>
      <w:r>
        <w:tab/>
      </w:r>
      <w:r>
        <w:t xml:space="preserve">Produce an adapter that raises pass@1 on HumanEval+ and MBPP+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as loop rounds add public data, and the effect of rank, target modules, example length and base precision through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5 \r \h ">
        <w:r>
          <w:t xml:space="preserve">[5]</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each with what Anneal takes from it, followed by the technologies the project builds on.</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5 \r \h ">
        <w:r>
          <w:t xml:space="preserve">[5]</w:t>
        </w:r>
      </w:fldSimple>
      <w:r>
        <w:t xml:space="preserve"> freeze the pretrained weights and learn each weight update as the product of two small matrices of rank r. On GPT-3 175B this cut the number of trainable parameters 10,000-fold and GPU memory threefold while matching full fine-tuning, and a merged adapter adds no inference latency.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 rather than inheriting the original defaults.</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is the strongest evidence that Anneal's budget is workable, since a 27B base leaves more room for activations. However, the evaluation centred on chat and knowledge benchmarks with short sequences on NVIDIA GPUs, and the training format differs from the GGUF format used at deployment. Anneal adopts the recipe, a 4-bit NF4 base with LoRA on attention and feed-forward projections, and evaluates in the deployment format. Because Unsloth advises against 4-bit training on the closely related Qwen3.5 models, citing larger-than-normal quantisation differences </w:t>
      </w:r>
      <w:fldSimple w:instr=" REF _RefAnneal6 \r \h ">
        <w:r>
          <w:t xml:space="preserve">[6]</w:t>
        </w:r>
      </w:fldSimple>
      <w:r>
        <w:t xml:space="preserve">, Anneal starts from the pre-quantised checkpoint Unsloth's guide uses for QLoRA </w:t>
      </w:r>
      <w:fldSimple w:instr=" REF _RefAnneal7 \r \h ">
        <w:r>
          <w:t xml:space="preserve">[7]</w:t>
        </w:r>
      </w:fldSimple>
      <w:r>
        <w:t xml:space="preserve">, and ablation A5 trains one 8-bit adapter to measure the remaining cost.</w:t>
      </w:r>
    </w:p>
    <w:p>
      <w:pPr>
        <w:pStyle w:val="Heading3"/>
      </w:pPr>
      <w:r>
        <w:t xml:space="preserve">What LoRA Learns and Forgets</w:t>
      </w:r>
    </w:p>
    <w:p>
      <w:pPr>
        <w:pStyle w:val="BodyFirst"/>
      </w:pPr>
      <w:r>
        <w:t xml:space="preserve">Biderman et al. </w:t>
      </w:r>
      <w:fldSimple w:instr=" REF _RefAnneal8 \r \h ">
        <w:r>
          <w:t xml:space="preserve">[8]</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loop. The study used Llama-2-7B, far weaker than Qwen3.8-27B, so whether a strong base leaves similar room to improve is open. For Anneal the paper sets realistic expectations and justifies the rank ablation and the non-coding check; its finding that LoRA forgets less is also the main reason to expect long-context ability to survive short-example training.</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3 \r \h ">
        <w:r>
          <w:t xml:space="preserve">[3]</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Their largest run used eight A100 GPUs. Anneal preserves an existing 256k window rather than extending one, and shifted sparse attention assumes standard attention in every layer, whereas three in four Qwen3.8 layers use DeltaNet, so the method does not transfer. Two lessons do: adapters can affect long-range behaviour in non-obvious ways, so retention must be tested, and if it fails, long examples or trainable normalisation layers are evidence-based remedies (ablation A4).</w:t>
      </w:r>
    </w:p>
    <w:p>
      <w:pPr>
        <w:pStyle w:val="Heading3"/>
      </w:pPr>
      <w:r>
        <w:t xml:space="preserve">Measuring Effective Context</w:t>
      </w:r>
    </w:p>
    <w:p>
      <w:pPr>
        <w:pStyle w:val="BodyFirst"/>
      </w:pPr>
      <w:r>
        <w:t xml:space="preserve">Hsieh et al. </w:t>
      </w:r>
      <w:fldSimple w:instr=" REF _RefAnneal4 \r \h ">
        <w:r>
          <w:t xml:space="preserve">[4]</w:t>
        </w:r>
      </w:fldSimple>
      <w:r>
        <w:t xml:space="preserve"> show that the popular needle-in-a-haystack test overstates context ability. RULER adds multi-key retrieval, variable tracking, aggregation and question answering at configurable lengths.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far better than single-function benchmarks. Its weaknesses are cost and noise.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even a subset would take days per system, so Anneal instead borrows SWE-bench's execution-based design for a personal set of repository-scale tasks drawn from the author's own code, which no public model has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7 \r \h ">
              <w:r>
                <w:rPr>
                  <w:sz w:val="20"/>
                </w:rPr>
                <w:t xml:space="preserve">[7]</w:t>
              </w:r>
            </w:fldSimple>
            <w:r>
              <w:rPr>
                <w:sz w:val="20"/>
              </w:rPr>
              <w:t xml:space="preserve">. Plain PEFT </w:t>
            </w:r>
            <w:fldSimple w:instr=" REF _RefAnneal14 \r \h ">
              <w:r>
                <w:rPr>
                  <w:sz w:val="20"/>
                </w:rPr>
                <w:t xml:space="preserve">[14]</w:t>
              </w:r>
            </w:fldSimple>
            <w:r>
              <w:rPr>
                <w:sz w:val="20"/>
              </w:rPr>
              <w:t xml:space="preserve"> is the backup;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and runtime adapters.</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LiveCodeBench; SWE-bench Verified</w:t>
            </w:r>
          </w:p>
        </w:tc>
        <w:tc>
          <w:tcPr>
            <w:tcW w:w="3996" w:type="dxa"/>
          </w:tcPr>
          <w:p>
            <w:pPr>
              <w:pStyle w:val="BodyText"/>
              <w:keepNext/>
              <w:spacing w:before="20" w:after="20"/>
              <w:jc w:val="left"/>
            </w:pPr>
            <w:r>
              <w:rPr>
                <w:sz w:val="20"/>
              </w:rPr>
              <w:t xml:space="preserve">EvalPlus </w:t>
            </w:r>
            <w:fldSimple w:instr=" REF _RefAnneal16 \r \h ">
              <w:r>
                <w:rPr>
                  <w:sz w:val="20"/>
                </w:rPr>
                <w:t xml:space="preserve">[16]</w:t>
              </w:r>
            </w:fldSimple>
            <w:r>
              <w:rPr>
                <w:sz w:val="20"/>
              </w:rPr>
              <w:t xml:space="preserve"> HumanEval+ and MBPP+ (542 problems, far more tests than the originals) as the primary measure; LiveCodeBench </w:t>
            </w:r>
            <w:fldSimple w:instr=" REF _RefAnneal17 \r \h ">
              <w:r>
                <w:rPr>
                  <w:sz w:val="20"/>
                </w:rPr>
                <w:t xml:space="preserve">[17]</w:t>
              </w:r>
            </w:fldSimple>
            <w:r>
              <w:rPr>
                <w:sz w:val="20"/>
              </w:rPr>
              <w:t xml:space="preserve"> problems released after the model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Public AI-written traces; human-written sets; own traces; teacher API; SWE-Gym</w:t>
            </w:r>
          </w:p>
        </w:tc>
        <w:tc>
          <w:tcPr>
            <w:tcW w:w="3996" w:type="dxa"/>
          </w:tcPr>
          <w:p>
            <w:pPr>
              <w:pStyle w:val="BodyText"/>
              <w:keepNext/>
              <w:spacing w:before="20" w:after="20"/>
              <w:jc w:val="left"/>
            </w:pPr>
            <w:r>
              <w:rPr>
                <w:sz w:val="20"/>
              </w:rPr>
              <w:t xml:space="preserve">Test-passed DeepSeek V4-Flash bug-fix and GLM-5.3 terminal runs </w:t>
            </w:r>
            <w:fldSimple w:instr=" REF _RefAnneal20 \r \h ">
              <w:r>
                <w:rPr>
                  <w:sz w:val="20"/>
                </w:rPr>
                <w:t xml:space="preserve">[20]</w:t>
              </w:r>
            </w:fldSimple>
            <w:r>
              <w:rPr>
                <w:sz w:val="20"/>
              </w:rPr>
              <w:t xml:space="preserve">, </w:t>
            </w:r>
            <w:fldSimple w:instr=" REF _RefAnneal21 \r \h ">
              <w:r>
                <w:rPr>
                  <w:sz w:val="20"/>
                </w:rPr>
                <w:t xml:space="preserve">[21]</w:t>
              </w:r>
            </w:fldSimple>
            <w:r>
              <w:rPr>
                <w:sz w:val="20"/>
              </w:rPr>
              <w:t xml:space="preserve"> (CC-BY-4.0) and V4-Pro coding answers </w:t>
            </w:r>
            <w:fldSimple w:instr=" REF _RefAnneal22 \r \h ">
              <w:r>
                <w:rPr>
                  <w:sz w:val="20"/>
                </w:rPr>
                <w:t xml:space="preserve">[22]</w:t>
              </w:r>
            </w:fldSimple>
            <w:r>
              <w:rPr>
                <w:sz w:val="20"/>
              </w:rPr>
              <w:t xml:space="preserve">, </w:t>
            </w:r>
            <w:fldSimple w:instr=" REF _RefAnneal23 \r \h ">
              <w:r>
                <w:rPr>
                  <w:sz w:val="20"/>
                </w:rPr>
                <w:t xml:space="preserve">[23]</w:t>
              </w:r>
            </w:fldSimple>
            <w:r>
              <w:rPr>
                <w:sz w:val="20"/>
              </w:rPr>
              <w:t xml:space="preserve"> (Apache-2.0), other languages before Python. Own and OpenCodeReasoning </w:t>
            </w:r>
            <w:fldSimple w:instr=" REF _RefAnneal24 \r \h ">
              <w:r>
                <w:rPr>
                  <w:sz w:val="20"/>
                </w:rPr>
                <w:t xml:space="preserve">[24]</w:t>
              </w:r>
            </w:fldSimple>
            <w:r>
              <w:rPr>
                <w:sz w:val="20"/>
              </w:rPr>
              <w:t xml:space="preserve"> traces only in the first run; human-written sets lack traces; agent-session sets </w:t>
            </w:r>
            <w:fldSimple w:instr=" REF _RefAnneal25 \r \h ">
              <w:r>
                <w:rPr>
                  <w:sz w:val="20"/>
                </w:rPr>
                <w:t xml:space="preserve">[25]</w:t>
              </w:r>
            </w:fldSimple>
            <w:r>
              <w:rPr>
                <w:sz w:val="20"/>
              </w:rPr>
              <w:t xml:space="preserve"> lack raw reasoning; API-generated rows are not public; SWE-Gym </w:t>
            </w:r>
            <w:fldSimple w:instr=" REF _RefAnneal26 \r \h ">
              <w:r>
                <w:rPr>
                  <w:sz w:val="20"/>
                </w:rPr>
                <w:t xml:space="preserve">[26]</w:t>
              </w:r>
            </w:fldSimple>
            <w:r>
              <w:rPr>
                <w:sz w:val="20"/>
              </w:rPr>
              <w:t xml:space="preserve"> trajectories come from 2024 models weaker than the base.</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In summary, QLoRA fixes the training configuration; LoRA and Biderman et al. frame what to expect and which hyperparameters to test; LongLoRA and RULER define the long-context risk; and SWE-bench shapes the realistic tasks. Anneal combines these at 256k context, on AMD hardware, within 32 GB, and reports the outcome openly.</w:t>
      </w:r>
    </w:p>
    <w:p>
      <w:pPr>
        <w:pStyle w:val="Heading1"/>
      </w:pPr>
      <w:r>
        <w:t xml:space="preserve">Prototype Development</w:t>
      </w:r>
    </w:p>
    <w:p>
      <w:pPr>
        <w:pStyle w:val="BodyFirst"/>
      </w:pPr>
      <w:r>
        <w:t xml:space="preserve">The prototype is a version-controlled repository of scripts and configuration for every stage in Figure 1. Drafted before access to the training machine, it was brought up there in October 2026; the first real run, round 0 of the loop (Section 3.2), was trained and scored by 21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and </w:t>
      </w:r>
      <w:r>
        <w:rPr>
          <w:rFonts w:ascii="Consolas" w:hAnsi="Consolas" w:cs="Consolas"/>
          <w:sz w:val="19"/>
        </w:rPr>
        <w:t xml:space="preserve">measure_memory.py</w:t>
      </w:r>
      <w:r>
        <w:t xml:space="preserve"> measures the peak over real training steps. Unsloth </w:t>
      </w:r>
      <w:fldSimple w:instr=" REF _RefAnneal11 \r \h ">
        <w:r>
          <w:t xml:space="preserve">[11]</w:t>
        </w:r>
      </w:fldSimple>
      <w:r>
        <w:t xml:space="preserve"> changes two large terms (Table 2): Qwen3.8's 248,320-token vocabulary makes the standard loss expensive, and Cut Cross-Entropy, which cut Gemma 2's classifier-head training memory from 28 GB to 1 GB </w:t>
      </w:r>
      <w:fldSimple w:instr=" REF _RefAnneal27 \r \h ">
        <w:r>
          <w:t xml:space="preserve">[27]</w:t>
        </w:r>
      </w:fldSimple>
      <w:r>
        <w:t xml:space="preserve">, shrinks this model's loss from about 12.6 GiB to 0.5 GiB.</w:t>
      </w:r>
    </w:p>
    <w:p>
      <w:pPr>
        <w:pStyle w:val="BodyText"/>
      </w:pPr>
      <w:r>
        <w:t xml:space="preserve">Table 2 decided the precision. An 8-bit base fits only if Unsloth's optimisations work on this chip, whereas a 4-bit base fits on either path; ablation A5 measures its cost in quantisation error. The loop uses the longest rows that fit with a margin (peak within 29 GiB, 6 GB of system memory free): 16,384 tokens crashed, so the cap is 12,288.</w:t>
      </w:r>
    </w:p>
    <w:p>
      <w:pPr>
        <w:pStyle w:val="BodyCentre"/>
        <w:keepNext/>
        <w:spacing w:before="120" w:after="60"/>
      </w:pPr>
      <w:r>
        <w:rPr>
          <w:b/>
          <w:sz w:val="20"/>
        </w:rPr>
        <w:t xml:space="preserve">Table 2.</w:t>
      </w:r>
      <w:r>
        <w:rPr>
          <w:sz w:val="20"/>
        </w:rPr>
        <w:t xml:space="preserve"> GPU memory per step at rank 16: estimated at 4,096 tokens, measured at 8,192 and 12,288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spacing w:before="20" w:after="20"/>
              <w:jc w:val="left"/>
            </w:pPr>
            <w:r>
              <w:rPr>
                <w:sz w:val="20"/>
              </w:rPr>
              <w:t xml:space="preserve">Component</w:t>
            </w:r>
          </w:p>
        </w:tc>
        <w:tc>
          <w:tcPr>
            <w:tcW w:w="2000" w:type="dxa"/>
          </w:tcPr>
          <w:p>
            <w:pPr>
              <w:pStyle w:val="BodyText"/>
              <w:spacing w:before="20" w:after="20"/>
              <w:jc w:val="left"/>
            </w:pPr>
            <w:r>
              <w:rPr>
                <w:sz w:val="20"/>
              </w:rPr>
              <w:t xml:space="preserve">4-bit (chosen)</w:t>
            </w:r>
          </w:p>
        </w:tc>
        <w:tc>
          <w:tcPr>
            <w:tcW w:w="2000" w:type="dxa"/>
          </w:tcPr>
          <w:p>
            <w:pPr>
              <w:pStyle w:val="BodyText"/>
              <w:spacing w:before="20" w:after="20"/>
              <w:jc w:val="left"/>
            </w:pPr>
            <w:r>
              <w:rPr>
                <w:sz w:val="20"/>
              </w:rPr>
              <w:t xml:space="preserve">8-bit (A5)</w:t>
            </w:r>
          </w:p>
        </w:tc>
      </w:tr>
      <w:tr>
        <w:trPr>
          <w:cantSplit/>
        </w:trPr>
        <w:tc>
          <w:tcPr>
            <w:tcW w:w="4296" w:type="dxa"/>
          </w:tcPr>
          <w:p>
            <w:pPr>
              <w:pStyle w:val="BodyText"/>
              <w:spacing w:before="20" w:after="20"/>
              <w:jc w:val="left"/>
            </w:pPr>
            <w:r>
              <w:rPr>
                <w:sz w:val="20"/>
              </w:rPr>
              <w:t xml:space="preserve">Frozen linear layers</w:t>
            </w:r>
          </w:p>
        </w:tc>
        <w:tc>
          <w:tcPr>
            <w:tcW w:w="2000" w:type="dxa"/>
          </w:tcPr>
          <w:p>
            <w:pPr>
              <w:pStyle w:val="BodyText"/>
              <w:spacing w:before="20" w:after="20"/>
              <w:jc w:val="left"/>
            </w:pPr>
            <w:r>
              <w:rPr>
                <w:sz w:val="20"/>
              </w:rPr>
              <w:t xml:space="preserve">11.7</w:t>
            </w:r>
          </w:p>
        </w:tc>
        <w:tc>
          <w:tcPr>
            <w:tcW w:w="2000" w:type="dxa"/>
          </w:tcPr>
          <w:p>
            <w:pPr>
              <w:pStyle w:val="BodyText"/>
              <w:spacing w:before="20" w:after="20"/>
              <w:jc w:val="left"/>
            </w:pPr>
            <w:r>
              <w:rPr>
                <w:sz w:val="20"/>
              </w:rPr>
              <w:t xml:space="preserve">22.7</w:t>
            </w:r>
          </w:p>
        </w:tc>
      </w:tr>
      <w:tr>
        <w:trPr>
          <w:cantSplit/>
        </w:trPr>
        <w:tc>
          <w:tcPr>
            <w:tcW w:w="4296" w:type="dxa"/>
          </w:tcPr>
          <w:p>
            <w:pPr>
              <w:pStyle w:val="BodyText"/>
              <w:spacing w:before="20" w:after="20"/>
              <w:jc w:val="left"/>
            </w:pPr>
            <w:r>
              <w:rPr>
                <w:sz w:val="20"/>
              </w:rPr>
              <w:t xml:space="preserve">Embeddings and output layer</w:t>
            </w:r>
          </w:p>
        </w:tc>
        <w:tc>
          <w:tcPr>
            <w:tcW w:w="2000" w:type="dxa"/>
          </w:tcPr>
          <w:p>
            <w:pPr>
              <w:pStyle w:val="BodyText"/>
              <w:spacing w:before="20" w:after="20"/>
              <w:jc w:val="left"/>
            </w:pPr>
            <w:r>
              <w:rPr>
                <w:sz w:val="20"/>
              </w:rPr>
              <w:t xml:space="preserve">4.7</w:t>
            </w:r>
          </w:p>
        </w:tc>
        <w:tc>
          <w:tcPr>
            <w:tcW w:w="2000" w:type="dxa"/>
          </w:tcPr>
          <w:p>
            <w:pPr>
              <w:pStyle w:val="BodyText"/>
              <w:spacing w:before="20" w:after="20"/>
              <w:jc w:val="left"/>
            </w:pPr>
            <w:r>
              <w:rPr>
                <w:sz w:val="20"/>
              </w:rPr>
              <w:t xml:space="preserve">4.7</w:t>
            </w:r>
          </w:p>
        </w:tc>
      </w:tr>
      <w:tr>
        <w:trPr>
          <w:cantSplit/>
        </w:trPr>
        <w:tc>
          <w:tcPr>
            <w:tcW w:w="4296" w:type="dxa"/>
          </w:tcPr>
          <w:p>
            <w:pPr>
              <w:pStyle w:val="BodyText"/>
              <w:spacing w:before="20" w:after="20"/>
              <w:jc w:val="left"/>
            </w:pPr>
            <w:r>
              <w:rPr>
                <w:sz w:val="20"/>
              </w:rPr>
              <w:t xml:space="preserve">LoRA, gradients, optimiser</w:t>
            </w:r>
          </w:p>
        </w:tc>
        <w:tc>
          <w:tcPr>
            <w:tcW w:w="2000" w:type="dxa"/>
          </w:tcPr>
          <w:p>
            <w:pPr>
              <w:pStyle w:val="BodyText"/>
              <w:spacing w:before="20" w:after="20"/>
              <w:jc w:val="left"/>
            </w:pPr>
            <w:r>
              <w:rPr>
                <w:sz w:val="20"/>
              </w:rPr>
              <w:t xml:space="preserve">0.7</w:t>
            </w:r>
          </w:p>
        </w:tc>
        <w:tc>
          <w:tcPr>
            <w:tcW w:w="2000" w:type="dxa"/>
          </w:tcPr>
          <w:p>
            <w:pPr>
              <w:pStyle w:val="BodyText"/>
              <w:spacing w:before="20" w:after="20"/>
              <w:jc w:val="left"/>
            </w:pPr>
            <w:r>
              <w:rPr>
                <w:sz w:val="20"/>
              </w:rPr>
              <w:t xml:space="preserve">0.7</w:t>
            </w:r>
          </w:p>
        </w:tc>
      </w:tr>
      <w:tr>
        <w:trPr>
          <w:cantSplit/>
        </w:trPr>
        <w:tc>
          <w:tcPr>
            <w:tcW w:w="4296" w:type="dxa"/>
          </w:tcPr>
          <w:p>
            <w:pPr>
              <w:pStyle w:val="BodyText"/>
              <w:spacing w:before="20" w:after="20"/>
              <w:jc w:val="left"/>
            </w:pPr>
            <w:r>
              <w:rPr>
                <w:sz w:val="20"/>
              </w:rPr>
              <w:t xml:space="preserve">Checkpoints (in host memory)</w:t>
            </w:r>
          </w:p>
        </w:tc>
        <w:tc>
          <w:tcPr>
            <w:tcW w:w="2000" w:type="dxa"/>
          </w:tcPr>
          <w:p>
            <w:pPr>
              <w:pStyle w:val="BodyText"/>
              <w:spacing w:before="20" w:after="20"/>
              <w:jc w:val="left"/>
            </w:pPr>
            <w:r>
              <w:rPr>
                <w:sz w:val="20"/>
              </w:rPr>
              <w:t xml:space="preserve">0 (2.5)</w:t>
            </w:r>
          </w:p>
        </w:tc>
        <w:tc>
          <w:tcPr>
            <w:tcW w:w="2000" w:type="dxa"/>
          </w:tcPr>
          <w:p>
            <w:pPr>
              <w:pStyle w:val="BodyText"/>
              <w:spacing w:before="20" w:after="20"/>
              <w:jc w:val="left"/>
            </w:pPr>
            <w:r>
              <w:rPr>
                <w:sz w:val="20"/>
              </w:rPr>
              <w:t xml:space="preserve">0 (2.5)</w:t>
            </w:r>
          </w:p>
        </w:tc>
      </w:tr>
      <w:tr>
        <w:trPr>
          <w:cantSplit/>
        </w:trPr>
        <w:tc>
          <w:tcPr>
            <w:tcW w:w="4296" w:type="dxa"/>
          </w:tcPr>
          <w:p>
            <w:pPr>
              <w:pStyle w:val="BodyText"/>
              <w:spacing w:before="20" w:after="20"/>
              <w:jc w:val="left"/>
            </w:pPr>
            <w:r>
              <w:rPr>
                <w:sz w:val="20"/>
              </w:rPr>
              <w:t xml:space="preserve">Recomputed activations</w:t>
            </w:r>
          </w:p>
        </w:tc>
        <w:tc>
          <w:tcPr>
            <w:tcW w:w="2000" w:type="dxa"/>
          </w:tcPr>
          <w:p>
            <w:pPr>
              <w:pStyle w:val="BodyText"/>
              <w:spacing w:before="20" w:after="20"/>
              <w:jc w:val="left"/>
            </w:pPr>
            <w:r>
              <w:rPr>
                <w:sz w:val="20"/>
              </w:rPr>
              <w:t xml:space="preserve">1.0</w:t>
            </w:r>
          </w:p>
        </w:tc>
        <w:tc>
          <w:tcPr>
            <w:tcW w:w="2000" w:type="dxa"/>
          </w:tcPr>
          <w:p>
            <w:pPr>
              <w:pStyle w:val="BodyText"/>
              <w:spacing w:before="20" w:after="20"/>
              <w:jc w:val="left"/>
            </w:pPr>
            <w:r>
              <w:rPr>
                <w:sz w:val="20"/>
              </w:rPr>
              <w:t xml:space="preserve">1.0</w:t>
            </w:r>
          </w:p>
        </w:tc>
      </w:tr>
      <w:tr>
        <w:trPr>
          <w:cantSplit/>
        </w:trPr>
        <w:tc>
          <w:tcPr>
            <w:tcW w:w="4296" w:type="dxa"/>
          </w:tcPr>
          <w:p>
            <w:pPr>
              <w:pStyle w:val="BodyText"/>
              <w:spacing w:before="20" w:after="20"/>
              <w:jc w:val="left"/>
            </w:pPr>
            <w:r>
              <w:rPr>
                <w:sz w:val="20"/>
              </w:rPr>
              <w:t xml:space="preserve">Loss (fused)</w:t>
            </w:r>
          </w:p>
        </w:tc>
        <w:tc>
          <w:tcPr>
            <w:tcW w:w="2000" w:type="dxa"/>
          </w:tcPr>
          <w:p>
            <w:pPr>
              <w:pStyle w:val="BodyText"/>
              <w:spacing w:before="20" w:after="20"/>
              <w:jc w:val="left"/>
            </w:pPr>
            <w:r>
              <w:rPr>
                <w:sz w:val="20"/>
              </w:rPr>
              <w:t xml:space="preserve">0.5</w:t>
            </w:r>
          </w:p>
        </w:tc>
        <w:tc>
          <w:tcPr>
            <w:tcW w:w="2000" w:type="dxa"/>
          </w:tcPr>
          <w:p>
            <w:pPr>
              <w:pStyle w:val="BodyText"/>
              <w:spacing w:before="20" w:after="20"/>
              <w:jc w:val="left"/>
            </w:pPr>
            <w:r>
              <w:rPr>
                <w:sz w:val="20"/>
              </w:rPr>
              <w:t xml:space="preserve">0.5</w:t>
            </w:r>
          </w:p>
        </w:tc>
      </w:tr>
      <w:tr>
        <w:trPr>
          <w:cantSplit/>
        </w:trPr>
        <w:tc>
          <w:tcPr>
            <w:tcW w:w="4296" w:type="dxa"/>
          </w:tcPr>
          <w:p>
            <w:pPr>
              <w:pStyle w:val="BodyText"/>
              <w:spacing w:before="20" w:after="20"/>
              <w:jc w:val="left"/>
            </w:pPr>
            <w:r>
              <w:rPr>
                <w:sz w:val="20"/>
              </w:rPr>
              <w:t xml:space="preserve">Runtime allowance</w:t>
            </w:r>
          </w:p>
        </w:tc>
        <w:tc>
          <w:tcPr>
            <w:tcW w:w="2000" w:type="dxa"/>
          </w:tcPr>
          <w:p>
            <w:pPr>
              <w:pStyle w:val="BodyText"/>
              <w:spacing w:before="20" w:after="20"/>
              <w:jc w:val="left"/>
            </w:pPr>
            <w:r>
              <w:rPr>
                <w:sz w:val="20"/>
              </w:rPr>
              <w:t xml:space="preserve">2.0</w:t>
            </w:r>
          </w:p>
        </w:tc>
        <w:tc>
          <w:tcPr>
            <w:tcW w:w="2000" w:type="dxa"/>
          </w:tcPr>
          <w:p>
            <w:pPr>
              <w:pStyle w:val="BodyText"/>
              <w:spacing w:before="20" w:after="20"/>
              <w:jc w:val="left"/>
            </w:pPr>
            <w:r>
              <w:rPr>
                <w:sz w:val="20"/>
              </w:rPr>
              <w:t xml:space="preserve">2.0</w:t>
            </w:r>
          </w:p>
        </w:tc>
      </w:tr>
      <w:tr>
        <w:trPr>
          <w:cantSplit/>
        </w:trPr>
        <w:tc>
          <w:tcPr>
            <w:tcW w:w="4296" w:type="dxa"/>
          </w:tcPr>
          <w:p>
            <w:pPr>
              <w:pStyle w:val="BodyText"/>
              <w:spacing w:before="20" w:after="20"/>
              <w:jc w:val="left"/>
            </w:pPr>
            <w:r>
              <w:rPr>
                <w:b/>
                <w:sz w:val="20"/>
              </w:rPr>
              <w:t xml:space="preserve">Total, Unsloth</w:t>
            </w:r>
          </w:p>
        </w:tc>
        <w:tc>
          <w:tcPr>
            <w:tcW w:w="2000" w:type="dxa"/>
          </w:tcPr>
          <w:p>
            <w:pPr>
              <w:pStyle w:val="BodyText"/>
              <w:spacing w:before="20" w:after="20"/>
              <w:jc w:val="left"/>
            </w:pPr>
            <w:r>
              <w:rPr>
                <w:b/>
                <w:sz w:val="20"/>
              </w:rPr>
              <w:t xml:space="preserve">about 21</w:t>
            </w:r>
          </w:p>
        </w:tc>
        <w:tc>
          <w:tcPr>
            <w:tcW w:w="2000" w:type="dxa"/>
          </w:tcPr>
          <w:p>
            <w:pPr>
              <w:pStyle w:val="BodyText"/>
              <w:spacing w:before="20" w:after="20"/>
              <w:jc w:val="left"/>
            </w:pPr>
            <w:r>
              <w:rPr>
                <w:b/>
                <w:sz w:val="20"/>
              </w:rPr>
              <w:t xml:space="preserve">about 32</w:t>
            </w:r>
          </w:p>
        </w:tc>
      </w:tr>
      <w:tr>
        <w:trPr>
          <w:cantSplit/>
        </w:trPr>
        <w:tc>
          <w:tcPr>
            <w:tcW w:w="4296" w:type="dxa"/>
          </w:tcPr>
          <w:p>
            <w:pPr>
              <w:pStyle w:val="BodyText"/>
              <w:spacing w:before="20" w:after="20"/>
              <w:jc w:val="left"/>
            </w:pPr>
            <w:r>
              <w:rPr>
                <w:sz w:val="20"/>
              </w:rPr>
              <w:t xml:space="preserve">Total, plain PEFT</w:t>
            </w:r>
          </w:p>
        </w:tc>
        <w:tc>
          <w:tcPr>
            <w:tcW w:w="2000" w:type="dxa"/>
          </w:tcPr>
          <w:p>
            <w:pPr>
              <w:pStyle w:val="BodyText"/>
              <w:spacing w:before="20" w:after="20"/>
              <w:jc w:val="left"/>
            </w:pPr>
            <w:r>
              <w:rPr>
                <w:sz w:val="20"/>
              </w:rPr>
              <w:t xml:space="preserve">40 to 46</w:t>
            </w:r>
          </w:p>
        </w:tc>
        <w:tc>
          <w:tcPr>
            <w:tcW w:w="2000" w:type="dxa"/>
          </w:tcPr>
          <w:p>
            <w:pPr>
              <w:pStyle w:val="BodyT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r>
        <w:trPr>
          <w:cantSplit/>
        </w:trPr>
        <w:tc>
          <w:tcPr>
            <w:tcW w:w="4296" w:type="dxa"/>
          </w:tcPr>
          <w:p>
            <w:pPr>
              <w:pStyle w:val="BodyText"/>
              <w:spacing w:before="20" w:after="20"/>
              <w:jc w:val="left"/>
            </w:pPr>
            <w:r>
              <w:rPr>
                <w:sz w:val="20"/>
              </w:rPr>
              <w:t xml:space="preserve">Measured peak at 12,288 tokens</w:t>
            </w:r>
          </w:p>
        </w:tc>
        <w:tc>
          <w:tcPr>
            <w:tcW w:w="2000" w:type="dxa"/>
          </w:tcPr>
          <w:p>
            <w:pPr>
              <w:pStyle w:val="BodyText"/>
              <w:spacing w:before="20" w:after="20"/>
              <w:jc w:val="left"/>
            </w:pPr>
            <w:r>
              <w:rPr>
                <w:sz w:val="20"/>
              </w:rPr>
              <w:t xml:space="preserve">27.2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From round 1, the loop trains only on public datasets, never on the base model's own rows, which would reinforce its biases. Every row must carry its teacher's real reasoning, and the teacher must match or beat Qwen3.8-27B on the Vals AI board for that task, where all models share one harness. Each round takes 45% from test-passed bug-fix runs in real TypeScript, Go, JavaScript and other non-Python repositories by DeepSeek V4-Flash-0731 </w:t>
      </w:r>
      <w:fldSimple w:instr=" REF _RefAnneal20 \r \h ">
        <w:r>
          <w:t xml:space="preserve">[20]</w:t>
        </w:r>
      </w:fldSimple>
      <w:r>
        <w:t xml:space="preserve">, which beats the base on LiveCodeBench, SWE-bench Verified and Terminal-Bench (87.3, 88.8 and 67.0 against 84.0, 86.0 and 58.4 </w:t>
      </w:r>
      <w:fldSimple w:instr=" REF _RefAnneal28 \r \h ">
        <w:r>
          <w:t xml:space="preserve">[28]</w:t>
        </w:r>
      </w:fldSimple>
      <w:r>
        <w:t xml:space="preserve">, </w:t>
      </w:r>
      <w:fldSimple w:instr=" REF _RefAnneal29 \r \h ">
        <w:r>
          <w:t xml:space="preserve">[29]</w:t>
        </w:r>
      </w:fldSimple>
      <w:r>
        <w:t xml:space="preserve">, </w:t>
      </w:r>
      <w:fldSimple w:instr=" REF _RefAnneal30 \r \h ">
        <w:r>
          <w:t xml:space="preserve">[30]</w:t>
        </w:r>
      </w:fldSimple>
      <w:r>
        <w:t xml:space="preserve">); 30% from test-passed Linux terminal runs by GLM-5.3 </w:t>
      </w:r>
      <w:fldSimple w:instr=" REF _RefAnneal21 \r \h ">
        <w:r>
          <w:t xml:space="preserve">[21]</w:t>
        </w:r>
      </w:fldSimple>
      <w:r>
        <w:t xml:space="preserve"> (Terminal-Bench 71.5); and 25% from DeepSeek-V4-Pro coding answers </w:t>
      </w:r>
      <w:fldSimple w:instr=" REF _RefAnneal22 \r \h ">
        <w:r>
          <w:t xml:space="preserve">[22]</w:t>
        </w:r>
      </w:fldSimple>
      <w:r>
        <w:t xml:space="preserve">, </w:t>
      </w:r>
      <w:fldSimple w:instr=" REF _RefAnneal23 \r \h ">
        <w:r>
          <w:t xml:space="preserve">[23]</w:t>
        </w:r>
      </w:fldSimple>
      <w:r>
        <w:t xml:space="preserve">, a teacher ahead only on LiveCodeBench (87.5). Rows using Python, and maths </w:t>
      </w:r>
      <w:fldSimple w:instr=" REF _RefAnneal31 \r \h ">
        <w:r>
          <w:t xml:space="preserve">[31]</w:t>
        </w:r>
      </w:fldSimple>
      <w:r>
        <w:t xml:space="preserve">, wait until these run out.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over-length rows and removes near-duplicates of evaluation prompts. An embedding search on the otherwise idle NPU also flags reworded copies, which n-gram checks miss </w:t>
      </w:r>
      <w:fldSimple w:instr=" REF _RefAnneal32 \r \h ">
        <w:r>
          <w:t xml:space="preserve">[32]</w:t>
        </w:r>
      </w:fldSimple>
      <w:r>
        <w:t xml:space="preserve">; in the first pools it flagged 33 of 15,276 rows without measurably slowing training.</w:t>
      </w:r>
    </w:p>
    <w:p>
      <w:pPr>
        <w:pStyle w:val="BodyText"/>
      </w:pPr>
      <w:r>
        <w:t xml:space="preserve">The first run, round 0, is a comparison run using the model's own rows: 500 base-model answers to OpenCodeInstruct </w:t>
      </w:r>
      <w:fldSimple w:instr=" REF _RefAnneal33 \r \h ">
        <w:r>
          <w:t xml:space="preserve">[33]</w:t>
        </w:r>
      </w:fldSimple>
      <w:r>
        <w:t xml:space="preserve"> prompts that passed their tests, as in ReST-EM </w:t>
      </w:r>
      <w:fldSimple w:instr=" REF _RefAnneal34 \r \h ">
        <w:r>
          <w:t xml:space="preserve">[34]</w:t>
        </w:r>
      </w:fldSimple>
      <w:r>
        <w:t xml:space="preserve">, plus 1,500 OpenCodeReasoning rows, whose DeepSeek-R1 teacher scores only 63.5 on LiveCodeBench </w:t>
      </w:r>
      <w:fldSimple w:instr=" REF _RefAnneal35 \r \h ">
        <w:r>
          <w:t xml:space="preserve">[35]</w:t>
        </w:r>
      </w:fldSimple>
      <w:r>
        <w:t xml:space="preserve">. Traces hitting the 6,144-token budget were rejected, so kept traces are short (median 436 tokens). Model-written code runs in a Windows AppContainer sandbox without network, file or administrator access, which passed 264 escape checks.</w:t>
      </w:r>
    </w:p>
    <w:p>
      <w:pPr>
        <w:pStyle w:val="Heading2"/>
      </w:pPr>
      <w:r>
        <w:t xml:space="preserve">Training</w:t>
      </w:r>
    </w:p>
    <w:p>
      <w:pPr>
        <w:pStyle w:val="BodyFirst"/>
      </w:pPr>
      <w:r>
        <w:t xml:space="preserve">Training runs as an unattended keep-if-better loop. Round 1 starts from the base model, never the first-run adapter; each later round continues the best adapter on 1,000 new rows plus 25% replayed from earlier rows, re-warming and decaying the learning rate, which in continual pre-training matched retraining on all data </w:t>
      </w:r>
      <w:fldSimple w:instr=" REF _RefAnneal36 \r \h ">
        <w:r>
          <w:t xml:space="preserve">[36]</w:t>
        </w:r>
      </w:fldSimple>
      <w:r>
        <w:t xml:space="preserve">. Each round is scored on a held-out gate of 495 decontaminated CodeContests </w:t>
      </w:r>
      <w:fldSimple w:instr=" REF _RefAnneal37 \r \h ">
        <w:r>
          <w:t xml:space="preserve">[37]</w:t>
        </w:r>
      </w:fldSimple>
      <w:r>
        <w:t xml:space="preserve"> items, never trained on or reported: write a program in C++, Java, Go, Rust, JavaScript or TypeScript (286), or fix a wrong C++ or Java submission (209), each built and run on up to 30 tests. A round is kept if a one-sided exact sign test against the best adapter gives p ≤ 0.05, or if its score is no lower and its loss falls on significantly more of 177 held-out bug-fix steps than it rises, since contest items cannot see what bug-fix rows teach. Either way, neither part nor 100 MMLU-Pro </w:t>
      </w:r>
      <w:fldSimple w:instr=" REF _RefAnneal38 \r \h ">
        <w:r>
          <w:t xml:space="preserve">[38]</w:t>
        </w:r>
      </w:fldSimple>
      <w:r>
        <w:t xml:space="preserve"> questions outside computing may drop by over 5 points or significantly, and a fresh-seed re-score becomes the new reference. A rejected round's rows roll into the next attempt, up to 3,000 new rows, because a real 2-point gain passes the gate only 24 to 44% of the time (power calculation). EvalPlus, scored only on kept adapters, never selects them.</w:t>
      </w:r>
    </w:p>
    <w:p>
      <w:pPr>
        <w:pStyle w:val="BodyText"/>
      </w:pPr>
      <w:r>
        <w:rPr>
          <w:rFonts w:ascii="Consolas" w:hAnsi="Consolas" w:cs="Consolas"/>
          <w:sz w:val="19"/>
        </w:rPr>
        <w:t xml:space="preserve">train_longrun.py</w:t>
      </w:r>
      <w:r>
        <w:t xml:space="preserve"> uses a warmup-stable-decay schedule </w:t>
      </w:r>
      <w:fldSimple w:instr=" REF _RefAnneal39 \r \h ">
        <w:r>
          <w:t xml:space="preserve">[39]</w:t>
        </w:r>
      </w:fldSimple>
      <w:r>
        <w:t xml:space="preserve"> (20 warm-up steps, decay over the last 20%). To survive crashes and updates over months, it saves every 10 steps, resumes when the same command is re-run, and refuses to resume if the training file has changed.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pPr>
      <w:r>
        <w:t xml:space="preserve">Small test fixtures caught four silent bugs, all fixed: the unit-test filter passed every answer, length was checked in characters so over-length rows could be truncated, the targets missed the 48 DeltaNet layers' projections, and a seed set after adapter creation made identical runs diverge from step 3.</w:t>
      </w:r>
    </w:p>
    <w:p>
      <w:pPr>
        <w:pStyle w:val="Heading2"/>
      </w:pPr>
      <w:r>
        <w:t xml:space="preserve">Bring-up and First Run</w:t>
      </w:r>
    </w:p>
    <w:p>
      <w:pPr>
        <w:pStyle w:val="BodyFirst"/>
      </w:pPr>
      <w:r>
        <w:t xml:space="preserve">Bring-up and the first run raised the issues in Table 3. The run trained on 7.40 million tokens at about 100 tokens per second, and held-out loss fell from 0.593 to 0.498, yet scores did not rise. Over all 542 EvalPlus problems with extra tests the base scored 86.2% and the adapter 85.4% (−0.7 points, 95% CI −2.6 to +1.1, p = 0.57); HumanEval+ rose 1.8 points and MBPP+ fell 1.9, neither significant, and leaving out five unreliable or overlapping problems changes nothing. The adapter learned its data without improving, consistent with a teacher weaker than the base, though one answer per problem cannot separate the two sources.</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scored the template's system prompt;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scores HumanEval+ and MBPP+ with the Windows EvalPlus port. HumanEval+ is also reported without HumanEval/32, which fails every solution through an EvalPlus 0.3.1 bug. A 20-problem calibration chose four parallel requests without multi-token prediction (MTP), 29.2 tokens per second in total; a 542-problem pass took 10 to 12 hours, as full answers reason longer than in calibration.</w:t>
      </w:r>
    </w:p>
    <w:p>
      <w:pPr>
        <w:pStyle w:val="BodyText"/>
      </w:pPr>
      <w:r>
        <w:t xml:space="preserve">The adapter is converted alone to GGUF and loaded over the same base, avoiding a 55 GB merged model. Trained against NF4 but served over Q4_K_M, a smoke-test adapter gave matching losses (0.756 in training, 0.728 in llama.cpp, 96% top-1 agreement), so evaluation measures the adapter as deployed.</w:t>
      </w:r>
    </w:p>
    <w:p>
      <w:pPr>
        <w:pStyle w:val="Heading2"/>
      </w:pPr>
      <w:r>
        <w:t xml:space="preserve">Critical Assessment</w:t>
      </w:r>
    </w:p>
    <w:p>
      <w:pPr>
        <w:pStyle w:val="BodyFirst"/>
      </w:pPr>
      <w:r>
        <w:t xml:space="preserve">The measurement-first design has paid off: the parity test caught a wrong fix before any real run used it. Speed and memory were measured only at rank 16. The Windows workarounds (a bundled C compiler, the convolution rewrite, disabled Vulkan kernels) could break on an update, so versions are pinned. With 20 to 50 personal tasks, confidence intervals will be wide. HumanEval+ and MBPP+ are Python-only, while the loop trains mostly on other languages, so EvalPlus may understate gains that the gate measures. Round 0 showed that a correctly working pipeline can still fail to improve a strong base.</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32,768 tokens to bound evaluation time, so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12,288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the gate and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HumanEval+ and MBPP+ pass@1, mean of three seeds (primary); post-August-2026 LiveCodeBench; 20 to 50 personal tasks</w:t>
            </w:r>
          </w:p>
        </w:tc>
        <w:tc>
          <w:tcPr>
            <w:tcW w:w="3196" w:type="dxa"/>
          </w:tcPr>
          <w:p>
            <w:pPr>
              <w:pStyle w:val="BodyText"/>
              <w:keepNext/>
              <w:spacing w:before="20" w:after="20"/>
              <w:jc w:val="left"/>
            </w:pPr>
            <w:r>
              <w:rPr>
                <w:sz w:val="20"/>
              </w:rPr>
              <w:t xml:space="preserve">A beats B on HumanEval+ and MBPP+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RULER and LongCodeBench at 32k to 256k and 100 MMLU-Pro questions, for each kept adapter</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Gate scores of every round; EvalPlus (one seed) for each kept adapter; ablations and the paired round</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With one seed, round 0's 95% interval spanned 3.7 points; three seeds narrow it.</w:t>
      </w:r>
    </w:p>
    <w:p>
      <w:pPr>
        <w:pStyle w:val="BodyText"/>
      </w:pPr>
      <w:r>
        <w:rPr>
          <w:b/>
        </w:rPr>
        <w:t xml:space="preserve">Data scaling.</w:t>
      </w:r>
      <w:r>
        <w:t xml:space="preserve"> Published results suggest small, flattening gains: supervised fine-tuning gains are log-linear in data and smaller for stronger models </w:t>
      </w:r>
      <w:fldSimple w:instr=" REF _RefAnneal40 \r \h ">
        <w:r>
          <w:t xml:space="preserve">[40]</w:t>
        </w:r>
      </w:fldSimple>
      <w:r>
        <w:t xml:space="preserve">, and LoRA learns less than full fine-tuning and forgets more the longer it trains </w:t>
      </w:r>
      <w:fldSimple w:instr=" REF _RefAnneal8 \r \h ">
        <w:r>
          <w:t xml:space="preserve">[8]</w:t>
        </w:r>
      </w:fldSimple>
      <w:r>
        <w:t xml:space="preserve">. Round 0, three-quarters from a weaker teacher, showed no clear gain, and many rounds may be rejected; a flat curve is still a result.</w:t>
      </w:r>
    </w:p>
    <w:p>
      <w:pPr>
        <w:pStyle w:val="BodyText"/>
      </w:pPr>
      <w:r>
        <w:rPr>
          <w:b/>
        </w:rPr>
        <w:t xml:space="preserve">Ablations.</w:t>
      </w:r>
      <w:r>
        <w:t xml:space="preserve"> One loop round tests A1 rank and A2 DeltaNet targets together: rank 64 on every projection (435M trainable parameters against 80M), retrained from the base on all kept rows. A paired round retrains a kept adapter's rows from the base, comparing continuing with replay against retraining. Separate 1,000-row runs cover A3 example length (4,096, 8,192), A4 long examples or trainable normalisation if a kept adapter fails O4, and A5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Two code sets are undated, so training rows are also checked against these problems.</w:t>
      </w:r>
    </w:p>
    <w:p>
      <w:pPr>
        <w:pStyle w:val="Heading1"/>
      </w:pPr>
      <w:r>
        <w:t xml:space="preserve">Project Plan</w:t>
      </w:r>
    </w:p>
    <w:p>
      <w:pPr>
        <w:pStyle w:val="BodyFirst"/>
      </w:pPr>
      <w:r>
        <w:t xml:space="preserve">Round 0 is scored (Section 3.4), and the loop starts from the base model. Of about 136 usable machine days from November to March, roughly 15 go to ablations and 20 to evaluation; loop rounds use the rest, since only one job can use the GPU at a time.</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Round 0 trained and scored against the base: no significant change. Six-language gate built; test longer rows; start the loop.</w:t>
            </w:r>
          </w:p>
        </w:tc>
        <w:tc>
          <w:tcPr>
            <w:tcW w:w="2396" w:type="dxa"/>
          </w:tcPr>
          <w:p>
            <w:pPr>
              <w:pStyle w:val="BodyText"/>
              <w:keepNext/>
              <w:spacing w:before="20" w:after="20"/>
              <w:jc w:val="left"/>
            </w:pPr>
            <w:r>
              <w:rPr>
                <w:sz w:val="20"/>
              </w:rPr>
              <w:t xml:space="preserve">First before-and-after scores</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 A3, pausing the loop.</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A5. Loop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The loop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Loop continues; ablation winners restart it from the base.</w:t>
            </w:r>
          </w:p>
        </w:tc>
        <w:tc>
          <w:tcPr>
            <w:tcW w:w="2396" w:type="dxa"/>
          </w:tcPr>
          <w:p>
            <w:pPr>
              <w:pStyle w:val="BodyText"/>
              <w:keepNext/>
              <w:spacing w:before="20" w:after="20"/>
              <w:jc w:val="left"/>
            </w:pPr>
            <w:r>
              <w:rPr>
                <w:sz w:val="20"/>
              </w:rPr>
              <w:t xml:space="preserve">Data card (O2)</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Loop continues. Interim demo. EvalPlus on new kept adapters.</w:t>
            </w:r>
          </w:p>
        </w:tc>
        <w:tc>
          <w:tcPr>
            <w:tcW w:w="2396" w:type="dxa"/>
          </w:tcPr>
          <w:p>
            <w:pPr>
              <w:pStyle w:val="BodyText"/>
              <w:keepNext/>
              <w:spacing w:before="20" w:after="20"/>
              <w:jc w:val="left"/>
            </w:pPr>
            <w:r>
              <w:rPr>
                <w:sz w:val="20"/>
              </w:rPr>
              <w:t xml:space="preserve">Scaling points</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Loop continues. Long-context checks on the best adapter.</w:t>
            </w:r>
          </w:p>
        </w:tc>
        <w:tc>
          <w:tcPr>
            <w:tcW w:w="2396" w:type="dxa"/>
          </w:tcPr>
          <w:p>
            <w:pPr>
              <w:pStyle w:val="BodyText"/>
              <w:keepNext/>
              <w:spacing w:before="20" w:after="20"/>
              <w:jc w:val="left"/>
            </w:pPr>
            <w:r>
              <w:rPr>
                <w:sz w:val="20"/>
              </w:rPr>
              <w:t xml:space="preserve">Retention results (O4)</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Loop continues. Poster session.</w:t>
            </w:r>
          </w:p>
        </w:tc>
        <w:tc>
          <w:tcPr>
            <w:tcW w:w="2396" w:type="dxa"/>
          </w:tcPr>
          <w:p>
            <w:pPr>
              <w:pStyle w:val="BodyText"/>
              <w:keepNext/>
              <w:spacing w:before="20" w:after="20"/>
              <w:jc w:val="left"/>
            </w:pPr>
            <w:r>
              <w:rPr>
                <w:sz w:val="20"/>
              </w:rPr>
              <w:t xml:space="preserve">Scaling points;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Freeze the best kept adapter. Three-seed evaluation.</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If a driver or package update breaks the Windows stack, the pinned versions are reinstalled, with WSL2 as a fallback. If a larger adapter trains much slower than measured, fewer rounds fit, but every kept round still adds a point to the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4">
        <w:r>
          <w:rPr>
            <w:color w:val="0563C1"/>
            <w:u w:val="single"/>
          </w:rPr>
          <w:t xml:space="preserve">https://arxiv.org/abs/2309.12307</w:t>
        </w:r>
      </w:hyperlink>
      <w:bookmarkEnd w:id="903"/>
    </w:p>
    <w:p>
      <w:pPr>
        <w:pStyle w:val="Reference"/>
        <w:tabs>
          <w:tab w:val="clear" w:pos="426"/>
          <w:tab w:val="num" w:pos="567"/>
        </w:tabs>
        <w:ind w:left="567" w:hanging="567"/>
        <w:jc w:val="left"/>
      </w:pPr>
      <w:bookmarkStart w:id="904" w:name="_RefAnneal4"/>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5">
        <w:r>
          <w:rPr>
            <w:color w:val="0563C1"/>
            <w:u w:val="single"/>
          </w:rPr>
          <w:t xml:space="preserve">https://arxiv.org/abs/2404.06654</w:t>
        </w:r>
      </w:hyperlink>
      <w:bookmarkEnd w:id="904"/>
    </w:p>
    <w:p>
      <w:pPr>
        <w:pStyle w:val="Reference"/>
        <w:tabs>
          <w:tab w:val="clear" w:pos="426"/>
          <w:tab w:val="num" w:pos="567"/>
        </w:tabs>
        <w:ind w:left="567" w:hanging="567"/>
        <w:jc w:val="left"/>
      </w:pPr>
      <w:bookmarkStart w:id="905" w:name="_RefAnneal5"/>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6">
        <w:r>
          <w:rPr>
            <w:color w:val="0563C1"/>
            <w:u w:val="single"/>
          </w:rPr>
          <w:t xml:space="preserve">https://arxiv.org/abs/2106.09685</w:t>
        </w:r>
      </w:hyperlink>
      <w:bookmarkEnd w:id="905"/>
    </w:p>
    <w:p>
      <w:pPr>
        <w:pStyle w:val="Reference"/>
        <w:tabs>
          <w:tab w:val="clear" w:pos="426"/>
          <w:tab w:val="num" w:pos="567"/>
        </w:tabs>
        <w:ind w:left="567" w:hanging="567"/>
        <w:jc w:val="left"/>
      </w:pPr>
      <w:bookmarkStart w:id="906" w:name="_RefAnneal6"/>
      <w:r>
        <w:t xml:space="preserve">Unsloth, "Qwen3.5 fine-tuning guide," Unsloth documentation, 2026. </w:t>
      </w:r>
      <w:r>
        <w:t xml:space="preserve">[Online]. Available: </w:t>
      </w:r>
      <w:hyperlink r:id="rId27">
        <w:r>
          <w:rPr>
            <w:color w:val="0563C1"/>
            <w:u w:val="single"/>
          </w:rPr>
          <w:t xml:space="preserve">https://unsloth.ai/docs/models/qwen3.5/fine-tune</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Unsloth, "Qwen3.8: How to fine-tune," Unsloth documentation, 2026. </w:t>
      </w:r>
      <w:r>
        <w:t xml:space="preserve">[Online]. Available: </w:t>
      </w:r>
      <w:hyperlink r:id="rId28">
        <w:r>
          <w:rPr>
            <w:color w:val="0563C1"/>
            <w:u w:val="single"/>
          </w:rPr>
          <w:t xml:space="preserve">https://unsloth.ai/docs/models/qwen3.8/train</w:t>
        </w:r>
      </w:hyperlink>
      <w:r>
        <w:t xml:space="preserve"> (accessed Oct. 17, 2026).</w:t>
      </w:r>
      <w:bookmarkEnd w:id="907"/>
    </w:p>
    <w:p>
      <w:pPr>
        <w:pStyle w:val="Reference"/>
        <w:tabs>
          <w:tab w:val="clear" w:pos="426"/>
          <w:tab w:val="num" w:pos="567"/>
        </w:tabs>
        <w:ind w:left="567" w:hanging="567"/>
        <w:jc w:val="left"/>
      </w:pPr>
      <w:bookmarkStart w:id="908" w:name="_RefAnneal8"/>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9">
        <w:r>
          <w:rPr>
            <w:color w:val="0563C1"/>
            <w:u w:val="single"/>
          </w:rPr>
          <w:t xml:space="preserve">https://arxiv.org/abs/2405.09673</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NVIDIA, "Open-SWE-Traces," Hugging Face dataset card, 2026. </w:t>
      </w:r>
      <w:r>
        <w:t xml:space="preserve">[Online]. Available: </w:t>
      </w:r>
      <w:hyperlink r:id="rId41">
        <w:r>
          <w:rPr>
            <w:color w:val="0563C1"/>
            <w:u w:val="single"/>
          </w:rPr>
          <w:t xml:space="preserve">https://huggingface.co/datasets/nvidia/Open-SWE-Traces</w:t>
        </w:r>
      </w:hyperlink>
      <w:r>
        <w:t xml:space="preserve"> (accessed Oct. 21, 2026).</w:t>
      </w:r>
      <w:bookmarkEnd w:id="920"/>
    </w:p>
    <w:p>
      <w:pPr>
        <w:pStyle w:val="Reference"/>
        <w:tabs>
          <w:tab w:val="clear" w:pos="426"/>
          <w:tab w:val="num" w:pos="567"/>
        </w:tabs>
        <w:ind w:left="567" w:hanging="567"/>
        <w:jc w:val="left"/>
      </w:pPr>
      <w:bookmarkStart w:id="921" w:name="_RefAnneal21"/>
      <w:r>
        <w:t xml:space="preserve">Open Athena, "recursive-task-synthesis-glm-5.3-rollouts," Hugging Face dataset card, 2026. </w:t>
      </w:r>
      <w:r>
        <w:t xml:space="preserve">[Online]. Available: </w:t>
      </w:r>
      <w:hyperlink r:id="rId42">
        <w:r>
          <w:rPr>
            <w:color w:val="0563C1"/>
            <w:u w:val="single"/>
          </w:rPr>
          <w:t xml:space="preserve">https://huggingface.co/datasets/open-athena/recursive-task-synthesis-glm-5.3-rollouts</w:t>
        </w:r>
      </w:hyperlink>
      <w:r>
        <w:t xml:space="preserve"> (accessed Oct. 21, 2026).</w:t>
      </w:r>
      <w:bookmarkEnd w:id="921"/>
    </w:p>
    <w:p>
      <w:pPr>
        <w:pStyle w:val="Reference"/>
        <w:tabs>
          <w:tab w:val="clear" w:pos="426"/>
          <w:tab w:val="num" w:pos="567"/>
        </w:tabs>
        <w:ind w:left="567" w:hanging="567"/>
        <w:jc w:val="left"/>
      </w:pPr>
      <w:bookmarkStart w:id="922" w:name="_RefAnneal22"/>
      <w:r>
        <w:t xml:space="preserve">sequelbox, "Tachibana4-DeepSeek-V4-Pro," Hugging Face dataset card, 2026. </w:t>
      </w:r>
      <w:r>
        <w:t xml:space="preserve">[Online]. Available: </w:t>
      </w:r>
      <w:hyperlink r:id="rId43">
        <w:r>
          <w:rPr>
            <w:color w:val="0563C1"/>
            <w:u w:val="single"/>
          </w:rPr>
          <w:t xml:space="preserve">https://huggingface.co/datasets/sequelbox/Tachibana4-DeepSeek-V4-Pro</w:t>
        </w:r>
      </w:hyperlink>
      <w:r>
        <w:t xml:space="preserve"> (accessed Oct. 17, 2026).</w:t>
      </w:r>
      <w:bookmarkEnd w:id="922"/>
    </w:p>
    <w:p>
      <w:pPr>
        <w:pStyle w:val="Reference"/>
        <w:tabs>
          <w:tab w:val="clear" w:pos="426"/>
          <w:tab w:val="num" w:pos="567"/>
        </w:tabs>
        <w:ind w:left="567" w:hanging="567"/>
        <w:jc w:val="left"/>
      </w:pPr>
      <w:bookmarkStart w:id="923" w:name="_RefAnneal23"/>
      <w:r>
        <w:t xml:space="preserve">Banaxi-Tech, "Deepseek-V4-Reasoning-Code-2500," Hugging Face dataset card, 2026. </w:t>
      </w:r>
      <w:r>
        <w:t xml:space="preserve">[Online]. Available: </w:t>
      </w:r>
      <w:hyperlink r:id="rId44">
        <w:r>
          <w:rPr>
            <w:color w:val="0563C1"/>
            <w:u w:val="single"/>
          </w:rPr>
          <w:t xml:space="preserve">https://huggingface.co/datasets/Banaxi-Tech/Deepseek-V4-Reasoning-Code-2500</w:t>
        </w:r>
      </w:hyperlink>
      <w:r>
        <w:t xml:space="preserve"> (accessed Oct. 17, 2026).</w:t>
      </w:r>
      <w:bookmarkEnd w:id="923"/>
    </w:p>
    <w:p>
      <w:pPr>
        <w:pStyle w:val="Reference"/>
        <w:tabs>
          <w:tab w:val="clear" w:pos="426"/>
          <w:tab w:val="num" w:pos="567"/>
        </w:tabs>
        <w:ind w:left="567" w:hanging="567"/>
        <w:jc w:val="left"/>
      </w:pPr>
      <w:bookmarkStart w:id="924" w:name="_RefAnneal24"/>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5">
        <w:r>
          <w:rPr>
            <w:color w:val="0563C1"/>
            <w:u w:val="single"/>
          </w:rPr>
          <w:t xml:space="preserve">https://arxiv.org/abs/2504.01943</w:t>
        </w:r>
      </w:hyperlink>
      <w:bookmarkEnd w:id="924"/>
    </w:p>
    <w:p>
      <w:pPr>
        <w:pStyle w:val="Reference"/>
        <w:tabs>
          <w:tab w:val="clear" w:pos="426"/>
          <w:tab w:val="num" w:pos="567"/>
        </w:tabs>
        <w:ind w:left="567" w:hanging="567"/>
        <w:jc w:val="left"/>
      </w:pPr>
      <w:bookmarkStart w:id="925" w:name="_RefAnneal25"/>
      <w:r>
        <w:t xml:space="preserve">Public agent-session dataset card, Hugging Face, 2026. </w:t>
      </w:r>
      <w:r>
        <w:t xml:space="preserve">[Online]. Available: </w:t>
      </w:r>
      <w:hyperlink r:id="rId46">
        <w:r>
          <w:rPr>
            <w:color w:val="0563C1"/>
            <w:u w:val="single"/>
          </w:rPr>
          <w:t xml:space="preserve">https://huggingface.co/datasets</w:t>
        </w:r>
      </w:hyperlink>
      <w:r>
        <w:t xml:space="preserve"> (accessed Oct. 17, 2026).</w:t>
      </w:r>
      <w:bookmarkEnd w:id="925"/>
    </w:p>
    <w:p>
      <w:pPr>
        <w:pStyle w:val="Reference"/>
        <w:tabs>
          <w:tab w:val="clear" w:pos="426"/>
          <w:tab w:val="num" w:pos="567"/>
        </w:tabs>
        <w:ind w:left="567" w:hanging="567"/>
        <w:jc w:val="left"/>
      </w:pPr>
      <w:bookmarkStart w:id="926" w:name="_RefAnneal26"/>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7">
        <w:r>
          <w:rPr>
            <w:color w:val="0563C1"/>
            <w:u w:val="single"/>
          </w:rPr>
          <w:t xml:space="preserve">https://proceedings.mlr.press/v267/pan25g.html</w:t>
        </w:r>
      </w:hyperlink>
      <w:bookmarkEnd w:id="926"/>
    </w:p>
    <w:p>
      <w:pPr>
        <w:pStyle w:val="Reference"/>
        <w:tabs>
          <w:tab w:val="clear" w:pos="426"/>
          <w:tab w:val="num" w:pos="567"/>
        </w:tabs>
        <w:ind w:left="567" w:hanging="567"/>
        <w:jc w:val="left"/>
      </w:pPr>
      <w:bookmarkStart w:id="927" w:name="_RefAnneal27"/>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8">
        <w:r>
          <w:rPr>
            <w:color w:val="0563C1"/>
            <w:u w:val="single"/>
          </w:rPr>
          <w:t xml:space="preserve">https://arxiv.org/abs/2411.09009</w:t>
        </w:r>
      </w:hyperlink>
      <w:bookmarkEnd w:id="927"/>
    </w:p>
    <w:p>
      <w:pPr>
        <w:pStyle w:val="Reference"/>
        <w:tabs>
          <w:tab w:val="clear" w:pos="426"/>
          <w:tab w:val="num" w:pos="567"/>
        </w:tabs>
        <w:ind w:left="567" w:hanging="567"/>
        <w:jc w:val="left"/>
      </w:pPr>
      <w:bookmarkStart w:id="928" w:name="_RefAnneal28"/>
      <w:r>
        <w:t xml:space="preserve">Vals AI, "LiveCodeBench leaderboard," 2026. </w:t>
      </w:r>
      <w:r>
        <w:t xml:space="preserve">[Online]. Available: </w:t>
      </w:r>
      <w:hyperlink r:id="rId49">
        <w:r>
          <w:rPr>
            <w:color w:val="0563C1"/>
            <w:u w:val="single"/>
          </w:rPr>
          <w:t xml:space="preserve">https://www.vals.ai/benchmarks/lcb</w:t>
        </w:r>
      </w:hyperlink>
      <w:r>
        <w:t xml:space="preserve"> (accessed Oct. 21, 2026).</w:t>
      </w:r>
      <w:bookmarkEnd w:id="928"/>
    </w:p>
    <w:p>
      <w:pPr>
        <w:pStyle w:val="Reference"/>
        <w:tabs>
          <w:tab w:val="clear" w:pos="426"/>
          <w:tab w:val="num" w:pos="567"/>
        </w:tabs>
        <w:ind w:left="567" w:hanging="567"/>
        <w:jc w:val="left"/>
      </w:pPr>
      <w:bookmarkStart w:id="929" w:name="_RefAnneal29"/>
      <w:r>
        <w:t xml:space="preserve">Vals AI, "SWE-bench Verified leaderboard," 2026. </w:t>
      </w:r>
      <w:r>
        <w:t xml:space="preserve">[Online]. Available: </w:t>
      </w:r>
      <w:hyperlink r:id="rId50">
        <w:r>
          <w:rPr>
            <w:color w:val="0563C1"/>
            <w:u w:val="single"/>
          </w:rPr>
          <w:t xml:space="preserve">https://www.vals.ai/benchmarks/swebench</w:t>
        </w:r>
      </w:hyperlink>
      <w:r>
        <w:t xml:space="preserve"> (accessed Oct. 21, 2026).</w:t>
      </w:r>
      <w:bookmarkEnd w:id="929"/>
    </w:p>
    <w:p>
      <w:pPr>
        <w:pStyle w:val="Reference"/>
        <w:tabs>
          <w:tab w:val="clear" w:pos="426"/>
          <w:tab w:val="num" w:pos="567"/>
        </w:tabs>
        <w:ind w:left="567" w:hanging="567"/>
        <w:jc w:val="left"/>
      </w:pPr>
      <w:bookmarkStart w:id="930" w:name="_RefAnneal30"/>
      <w:r>
        <w:t xml:space="preserve">Vals AI, "Terminal-Bench 2.1 leaderboard," 2026. </w:t>
      </w:r>
      <w:r>
        <w:t xml:space="preserve">[Online]. Available: </w:t>
      </w:r>
      <w:hyperlink r:id="rId51">
        <w:r>
          <w:rPr>
            <w:color w:val="0563C1"/>
            <w:u w:val="single"/>
          </w:rPr>
          <w:t xml:space="preserve">https://www.vals.ai/benchmarks/terminal-bench-2-1</w:t>
        </w:r>
      </w:hyperlink>
      <w:r>
        <w:t xml:space="preserve"> (accessed Oct. 21, 2026).</w:t>
      </w:r>
      <w:bookmarkEnd w:id="930"/>
    </w:p>
    <w:p>
      <w:pPr>
        <w:pStyle w:val="Reference"/>
        <w:tabs>
          <w:tab w:val="clear" w:pos="426"/>
          <w:tab w:val="num" w:pos="567"/>
        </w:tabs>
        <w:ind w:left="567" w:hanging="567"/>
        <w:jc w:val="left"/>
      </w:pPr>
      <w:bookmarkStart w:id="931" w:name="_RefAnneal31"/>
      <w:r>
        <w:t xml:space="preserve">NVIDIA, "Nemotron-SFT-Math-v4," Hugging Face dataset card, 2026. </w:t>
      </w:r>
      <w:r>
        <w:t xml:space="preserve">[Online]. Available: </w:t>
      </w:r>
      <w:hyperlink r:id="rId52">
        <w:r>
          <w:rPr>
            <w:color w:val="0563C1"/>
            <w:u w:val="single"/>
          </w:rPr>
          <w:t xml:space="preserve">https://huggingface.co/datasets/nvidia/Nemotron-SFT-Math-v4</w:t>
        </w:r>
      </w:hyperlink>
      <w:r>
        <w:t xml:space="preserve"> (accessed Oct. 17, 2026).</w:t>
      </w:r>
      <w:bookmarkEnd w:id="931"/>
    </w:p>
    <w:p>
      <w:pPr>
        <w:pStyle w:val="Reference"/>
        <w:tabs>
          <w:tab w:val="clear" w:pos="426"/>
          <w:tab w:val="num" w:pos="567"/>
        </w:tabs>
        <w:ind w:left="567" w:hanging="567"/>
        <w:jc w:val="left"/>
      </w:pPr>
      <w:bookmarkStart w:id="932" w:name="_RefAnneal32"/>
      <w:r>
        <w:t xml:space="preserve">S. Yang, W.-L. Chiang, L. Zheng, J. E. Gonzalez, and I. Stoica, "Rethinking benchmark and contamination for language models with rephrased samples," arXiv preprint arXiv:2311.04850, 2023. </w:t>
      </w:r>
      <w:r>
        <w:t xml:space="preserve">[Online]. Available: </w:t>
      </w:r>
      <w:hyperlink r:id="rId53">
        <w:r>
          <w:rPr>
            <w:color w:val="0563C1"/>
            <w:u w:val="single"/>
          </w:rPr>
          <w:t xml:space="preserve">https://arxiv.org/abs/2311.04850</w:t>
        </w:r>
      </w:hyperlink>
      <w:bookmarkEnd w:id="932"/>
    </w:p>
    <w:p>
      <w:pPr>
        <w:pStyle w:val="Reference"/>
        <w:tabs>
          <w:tab w:val="clear" w:pos="426"/>
          <w:tab w:val="num" w:pos="567"/>
        </w:tabs>
        <w:ind w:left="567" w:hanging="567"/>
        <w:jc w:val="left"/>
      </w:pPr>
      <w:bookmarkStart w:id="933" w:name="_RefAnneal33"/>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54">
        <w:r>
          <w:rPr>
            <w:color w:val="0563C1"/>
            <w:u w:val="single"/>
          </w:rPr>
          <w:t xml:space="preserve">https://arxiv.org/abs/2504.04030</w:t>
        </w:r>
      </w:hyperlink>
      <w:bookmarkEnd w:id="933"/>
    </w:p>
    <w:p>
      <w:pPr>
        <w:pStyle w:val="Reference"/>
        <w:tabs>
          <w:tab w:val="clear" w:pos="426"/>
          <w:tab w:val="num" w:pos="567"/>
        </w:tabs>
        <w:ind w:left="567" w:hanging="567"/>
        <w:jc w:val="left"/>
      </w:pPr>
      <w:bookmarkStart w:id="934" w:name="_RefAnneal34"/>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55">
        <w:r>
          <w:rPr>
            <w:color w:val="0563C1"/>
            <w:u w:val="single"/>
          </w:rPr>
          <w:t xml:space="preserve">https://arxiv.org/abs/2312.06585</w:t>
        </w:r>
      </w:hyperlink>
      <w:bookmarkEnd w:id="934"/>
    </w:p>
    <w:p>
      <w:pPr>
        <w:pStyle w:val="Reference"/>
        <w:tabs>
          <w:tab w:val="clear" w:pos="426"/>
          <w:tab w:val="num" w:pos="567"/>
        </w:tabs>
        <w:ind w:left="567" w:hanging="567"/>
        <w:jc w:val="left"/>
      </w:pPr>
      <w:bookmarkStart w:id="935" w:name="_RefAnneal35"/>
      <w:r>
        <w:t xml:space="preserve">DeepSeek-AI, "DeepSeek-R1-0528," Hugging Face model card, 2025. </w:t>
      </w:r>
      <w:r>
        <w:t xml:space="preserve">[Online]. Available: </w:t>
      </w:r>
      <w:hyperlink r:id="rId56">
        <w:r>
          <w:rPr>
            <w:color w:val="0563C1"/>
            <w:u w:val="single"/>
          </w:rPr>
          <w:t xml:space="preserve">https://huggingface.co/deepseek-ai/DeepSeek-R1-0528</w:t>
        </w:r>
      </w:hyperlink>
      <w:r>
        <w:t xml:space="preserve"> (accessed Oct. 17, 2026).</w:t>
      </w:r>
      <w:bookmarkEnd w:id="935"/>
    </w:p>
    <w:p>
      <w:pPr>
        <w:pStyle w:val="Reference"/>
        <w:tabs>
          <w:tab w:val="clear" w:pos="426"/>
          <w:tab w:val="num" w:pos="567"/>
        </w:tabs>
        <w:ind w:left="567" w:hanging="567"/>
        <w:jc w:val="left"/>
      </w:pPr>
      <w:bookmarkStart w:id="936" w:name="_RefAnneal36"/>
      <w:r>
        <w:t xml:space="preserve">A. Ibrahim </w:t>
      </w:r>
      <w:r>
        <w:rPr>
          <w:i/>
        </w:rPr>
        <w:t xml:space="preserve">et al.</w:t>
      </w:r>
      <w:r>
        <w:t xml:space="preserve">, "Simple and scalable strategies to continually pre-train large language models," </w:t>
      </w:r>
      <w:r>
        <w:rPr>
          <w:i/>
        </w:rPr>
        <w:t xml:space="preserve">Trans. Machine Learning Research</w:t>
      </w:r>
      <w:r>
        <w:t xml:space="preserve">, 2024. </w:t>
      </w:r>
      <w:r>
        <w:t xml:space="preserve">[Online]. Available: </w:t>
      </w:r>
      <w:hyperlink r:id="rId57">
        <w:r>
          <w:rPr>
            <w:color w:val="0563C1"/>
            <w:u w:val="single"/>
          </w:rPr>
          <w:t xml:space="preserve">https://arxiv.org/abs/2403.08763</w:t>
        </w:r>
      </w:hyperlink>
      <w:bookmarkEnd w:id="936"/>
    </w:p>
    <w:p>
      <w:pPr>
        <w:pStyle w:val="Reference"/>
        <w:tabs>
          <w:tab w:val="clear" w:pos="426"/>
          <w:tab w:val="num" w:pos="567"/>
        </w:tabs>
        <w:ind w:left="567" w:hanging="567"/>
        <w:jc w:val="left"/>
      </w:pPr>
      <w:bookmarkStart w:id="937" w:name="_RefAnneal37"/>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58">
        <w:r>
          <w:rPr>
            <w:color w:val="0563C1"/>
            <w:u w:val="single"/>
          </w:rPr>
          <w:t xml:space="preserve">https://arxiv.org/abs/2203.07814</w:t>
        </w:r>
      </w:hyperlink>
      <w:bookmarkEnd w:id="937"/>
    </w:p>
    <w:p>
      <w:pPr>
        <w:pStyle w:val="Reference"/>
        <w:tabs>
          <w:tab w:val="clear" w:pos="426"/>
          <w:tab w:val="num" w:pos="567"/>
        </w:tabs>
        <w:ind w:left="567" w:hanging="567"/>
        <w:jc w:val="left"/>
      </w:pPr>
      <w:bookmarkStart w:id="938" w:name="_RefAnneal38"/>
      <w:r>
        <w:t xml:space="preserve">Y. Wang </w:t>
      </w:r>
      <w:r>
        <w:rPr>
          <w:i/>
        </w:rPr>
        <w:t xml:space="preserve">et al.</w:t>
      </w:r>
      <w:r>
        <w:t xml:space="preserve">, "MMLU-Pro: A more robust and challenging multi-task language understanding benchmark," in </w:t>
      </w:r>
      <w:r>
        <w:rPr>
          <w:i/>
        </w:rPr>
        <w:t xml:space="preserve">Advances in Neural Information Processing Systems (NeurIPS)</w:t>
      </w:r>
      <w:r>
        <w:t xml:space="preserve">, vol. 37, 2024. </w:t>
      </w:r>
      <w:r>
        <w:t xml:space="preserve">[Online]. Available: </w:t>
      </w:r>
      <w:hyperlink r:id="rId59">
        <w:r>
          <w:rPr>
            <w:color w:val="0563C1"/>
            <w:u w:val="single"/>
          </w:rPr>
          <w:t xml:space="preserve">https://arxiv.org/abs/2406.01574</w:t>
        </w:r>
      </w:hyperlink>
      <w:bookmarkEnd w:id="938"/>
    </w:p>
    <w:p>
      <w:pPr>
        <w:pStyle w:val="Reference"/>
        <w:tabs>
          <w:tab w:val="clear" w:pos="426"/>
          <w:tab w:val="num" w:pos="567"/>
        </w:tabs>
        <w:ind w:left="567" w:hanging="567"/>
        <w:jc w:val="left"/>
      </w:pPr>
      <w:bookmarkStart w:id="939" w:name="_RefAnneal39"/>
      <w:r>
        <w:t xml:space="preserve">A. Hägele, E. Bakouch, A. Kosson, L. Ben Allal, L. Von Werra, and M. Jaggi, "Scaling laws and compute-optimal training beyond fixed training durations," arXiv preprint arXiv:2405.18392, 2024. </w:t>
      </w:r>
      <w:r>
        <w:t xml:space="preserve">[Online]. Available: </w:t>
      </w:r>
      <w:hyperlink r:id="rId60">
        <w:r>
          <w:rPr>
            <w:color w:val="0563C1"/>
            <w:u w:val="single"/>
          </w:rPr>
          <w:t xml:space="preserve">https://arxiv.org/abs/2405.18392</w:t>
        </w:r>
      </w:hyperlink>
      <w:bookmarkEnd w:id="939"/>
    </w:p>
    <w:p>
      <w:pPr>
        <w:pStyle w:val="Reference"/>
        <w:tabs>
          <w:tab w:val="clear" w:pos="426"/>
          <w:tab w:val="num" w:pos="567"/>
        </w:tabs>
        <w:ind w:left="567" w:hanging="567"/>
        <w:jc w:val="left"/>
      </w:pPr>
      <w:bookmarkStart w:id="940" w:name="_RefAnneal40"/>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61">
        <w:r>
          <w:rPr>
            <w:color w:val="0563C1"/>
            <w:u w:val="single"/>
          </w:rPr>
          <w:t xml:space="preserve">https://arxiv.org/abs/2308.01825</w:t>
        </w:r>
      </w:hyperlink>
      <w:bookmarkEnd w:id="940"/>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309.12307" TargetMode="External"/><Relationship Id="rId25" Type="http://schemas.openxmlformats.org/officeDocument/2006/relationships/hyperlink" Target="https://arxiv.org/abs/2404.06654" TargetMode="External"/><Relationship Id="rId26" Type="http://schemas.openxmlformats.org/officeDocument/2006/relationships/hyperlink" Target="https://arxiv.org/abs/2106.09685" TargetMode="External"/><Relationship Id="rId27" Type="http://schemas.openxmlformats.org/officeDocument/2006/relationships/hyperlink" Target="https://unsloth.ai/docs/models/qwen3.5/fine-tune" TargetMode="External"/><Relationship Id="rId28" Type="http://schemas.openxmlformats.org/officeDocument/2006/relationships/hyperlink" Target="https://unsloth.ai/docs/models/qwen3.8/train" TargetMode="External"/><Relationship Id="rId29" Type="http://schemas.openxmlformats.org/officeDocument/2006/relationships/hyperlink" Target="https://arxiv.org/abs/2405.09673"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huggingface.co/datasets/nvidia/Open-SWE-Traces" TargetMode="External"/><Relationship Id="rId42" Type="http://schemas.openxmlformats.org/officeDocument/2006/relationships/hyperlink" Target="https://huggingface.co/datasets/open-athena/recursive-task-synthesis-glm-5.3-rollouts" TargetMode="External"/><Relationship Id="rId43" Type="http://schemas.openxmlformats.org/officeDocument/2006/relationships/hyperlink" Target="https://huggingface.co/datasets/sequelbox/Tachibana4-DeepSeek-V4-Pro" TargetMode="External"/><Relationship Id="rId44" Type="http://schemas.openxmlformats.org/officeDocument/2006/relationships/hyperlink" Target="https://huggingface.co/datasets/Banaxi-Tech/Deepseek-V4-Reasoning-Code-2500" TargetMode="External"/><Relationship Id="rId45" Type="http://schemas.openxmlformats.org/officeDocument/2006/relationships/hyperlink" Target="https://arxiv.org/abs/2504.01943" TargetMode="External"/><Relationship Id="rId46" Type="http://schemas.openxmlformats.org/officeDocument/2006/relationships/hyperlink" Target="https://huggingface.co/datasets" TargetMode="External"/><Relationship Id="rId47" Type="http://schemas.openxmlformats.org/officeDocument/2006/relationships/hyperlink" Target="https://proceedings.mlr.press/v267/pan25g.html" TargetMode="External"/><Relationship Id="rId48" Type="http://schemas.openxmlformats.org/officeDocument/2006/relationships/hyperlink" Target="https://arxiv.org/abs/2411.09009" TargetMode="External"/><Relationship Id="rId49" Type="http://schemas.openxmlformats.org/officeDocument/2006/relationships/hyperlink" Target="https://www.vals.ai/benchmarks/lcb" TargetMode="External"/><Relationship Id="rId50" Type="http://schemas.openxmlformats.org/officeDocument/2006/relationships/hyperlink" Target="https://www.vals.ai/benchmarks/swebench" TargetMode="External"/><Relationship Id="rId51" Type="http://schemas.openxmlformats.org/officeDocument/2006/relationships/hyperlink" Target="https://www.vals.ai/benchmarks/terminal-bench-2-1" TargetMode="External"/><Relationship Id="rId52" Type="http://schemas.openxmlformats.org/officeDocument/2006/relationships/hyperlink" Target="https://huggingface.co/datasets/nvidia/Nemotron-SFT-Math-v4" TargetMode="External"/><Relationship Id="rId53" Type="http://schemas.openxmlformats.org/officeDocument/2006/relationships/hyperlink" Target="https://arxiv.org/abs/2311.04850" TargetMode="External"/><Relationship Id="rId54" Type="http://schemas.openxmlformats.org/officeDocument/2006/relationships/hyperlink" Target="https://arxiv.org/abs/2504.04030" TargetMode="External"/><Relationship Id="rId55" Type="http://schemas.openxmlformats.org/officeDocument/2006/relationships/hyperlink" Target="https://arxiv.org/abs/2312.06585" TargetMode="External"/><Relationship Id="rId56" Type="http://schemas.openxmlformats.org/officeDocument/2006/relationships/hyperlink" Target="https://huggingface.co/deepseek-ai/DeepSeek-R1-0528" TargetMode="External"/><Relationship Id="rId57" Type="http://schemas.openxmlformats.org/officeDocument/2006/relationships/hyperlink" Target="https://arxiv.org/abs/2403.08763" TargetMode="External"/><Relationship Id="rId58" Type="http://schemas.openxmlformats.org/officeDocument/2006/relationships/hyperlink" Target="https://arxiv.org/abs/2203.07814" TargetMode="External"/><Relationship Id="rId59" Type="http://schemas.openxmlformats.org/officeDocument/2006/relationships/hyperlink" Target="https://arxiv.org/abs/2406.01574" TargetMode="External"/><Relationship Id="rId60" Type="http://schemas.openxmlformats.org/officeDocument/2006/relationships/hyperlink" Target="https://arxiv.org/abs/2405.18392" TargetMode="External"/><Relationship Id="rId61" Type="http://schemas.openxmlformats.org/officeDocument/2006/relationships/hyperlink" Target="https://arxiv.org/abs/2308.0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 Challinor</dc:creator>
  <cp:lastModifiedBy>Callum Challinor</cp:lastModifiedBy>
  <cp:revision>6</cp:revision>
  <dcterms:created xsi:type="dcterms:W3CDTF">2024-10-10T11:37:00Z</dcterms:created>
  <dcterms:modified xsi:type="dcterms:W3CDTF">2026-10-21T17:40:42Z</dcterms:modified>
</cp:coreProperties>
</file>