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9E7B4" w14:textId="77777777" w:rsidR="00E84BF3" w:rsidRDefault="00E84BF3">
      <w:pPr>
        <w:pStyle w:val="Title"/>
      </w:pPr>
    </w:p>
    <w:p w14:paraId="359AA2F5" w14:textId="77777777" w:rsidR="00E84BF3" w:rsidRDefault="00E84BF3">
      <w:pPr>
        <w:pStyle w:val="Title"/>
      </w:pPr>
      <w:r>
        <w:t xml:space="preserve">Anneal: Memory-Constrained LoRA Fine-Tuning of Qwen3.8-27B for Software Engineering at 256k Context</w:t>
      </w:r>
    </w:p>
    <w:p w14:paraId="086A5E2F" w14:textId="77777777" w:rsidR="00E84BF3" w:rsidRDefault="00E84BF3">
      <w:pPr>
        <w:pStyle w:val="Author"/>
      </w:pPr>
      <w:r>
        <w:t xml:space="preserve">Callum Challinor</w:t>
      </w:r>
    </w:p>
    <w:p w14:paraId="73ABE7FE" w14:textId="77777777" w:rsidR="00E657B1" w:rsidRPr="00E657B1" w:rsidRDefault="00E657B1">
      <w:pPr>
        <w:pStyle w:val="Author"/>
        <w:rPr>
          <w:b w:val="0"/>
        </w:rPr>
      </w:pPr>
      <w:r>
        <w:rPr>
          <w:b w:val="0"/>
        </w:rPr>
        <w:t xml:space="preserve">3308299</w:t>
      </w:r>
    </w:p>
    <w:p w14:paraId="24F000F3" w14:textId="77777777" w:rsidR="00E657B1" w:rsidRPr="00E657B1" w:rsidRDefault="00E657B1">
      <w:pPr>
        <w:pStyle w:val="Author"/>
        <w:rPr>
          <w:b w:val="0"/>
        </w:rPr>
      </w:pPr>
      <w:r>
        <w:rPr>
          <w:b w:val="0"/>
        </w:rPr>
        <w:t xml:space="preserve">Supervisor: Yuanlin Gu</w:t>
      </w:r>
    </w:p>
    <w:p w14:paraId="26611F8E" w14:textId="6767414E" w:rsidR="00E84BF3" w:rsidRDefault="00E657B1">
      <w:pPr>
        <w:pStyle w:val="Date"/>
        <w:rPr>
          <w:i/>
        </w:rPr>
      </w:pPr>
      <w:r>
        <w:rPr>
          <w:i/>
        </w:rPr>
        <w:t xml:space="preserve">October 2026</w:t>
      </w:r>
    </w:p>
    <w:p w14:paraId="26611F8E" w14:textId="6767414E" w:rsidR="00E84BF3" w:rsidRDefault="00E657B1">
      <w:pPr>
        <w:pStyle w:val="Date"/>
        <w:spacing w:before="216"/>
        <w:rPr>
          <w:i/>
        </w:rPr>
      </w:pPr>
      <w:r>
        <w:rPr/>
        <w:t xml:space="preserve">I used Claude as an AI assistant to monitor training and to help with document creation.</w:t>
      </w:r>
    </w:p>
    <w:p w14:paraId="770443AE" w14:textId="77777777" w:rsidR="00E84BF3" w:rsidRDefault="00E84BF3">
      <w:pPr>
        <w:pStyle w:val="BodyFirst"/>
      </w:pPr>
    </w:p>
    <w:p w14:paraId="37594600" w14:textId="306020C8" w:rsidR="00061BBE" w:rsidRPr="0013550A" w:rsidRDefault="00061BBE" w:rsidP="00061BBE">
      <w:pPr>
        <w:jc w:val="center"/>
        <w:rPr>
          <w:i/>
          <w:iCs/>
          <w:sz w:val="24"/>
          <w:szCs w:val="24"/>
        </w:rPr>
      </w:pPr>
    </w:p>
    <w:p w14:paraId="79A553C8" w14:textId="77777777" w:rsidR="00E84BF3" w:rsidRDefault="00E84BF3">
      <w:pPr>
        <w:pStyle w:val="BodyFirst"/>
      </w:pPr>
    </w:p>
    <w:p w14:paraId="568C1D4F" w14:textId="77777777" w:rsidR="00E84BF3" w:rsidRDefault="00E84BF3">
      <w:pPr>
        <w:pStyle w:val="BodyFirst"/>
      </w:pPr>
    </w:p>
    <w:p w14:paraId="584D5111" w14:textId="77777777" w:rsidR="00E84BF3" w:rsidRDefault="00E84BF3">
      <w:pPr>
        <w:pStyle w:val="BodyFirst"/>
      </w:pPr>
    </w:p>
    <w:p w14:paraId="56AC5B40" w14:textId="77777777" w:rsidR="00E84BF3" w:rsidRDefault="00E84BF3">
      <w:pPr>
        <w:pStyle w:val="BodyFirst"/>
      </w:pPr>
    </w:p>
    <w:p w14:paraId="2D359A2A" w14:textId="77777777" w:rsidR="00E84BF3" w:rsidRDefault="00E84BF3">
      <w:pPr>
        <w:pStyle w:val="BodyFirst"/>
      </w:pPr>
    </w:p>
    <w:p w14:paraId="7C681705" w14:textId="77777777" w:rsidR="00E84BF3" w:rsidRDefault="00E84BF3">
      <w:pPr>
        <w:pStyle w:val="BodyFirst"/>
      </w:pPr>
    </w:p>
    <w:p w14:paraId="40480BE2" w14:textId="77777777" w:rsidR="00E84BF3" w:rsidRDefault="00E84BF3">
      <w:pPr>
        <w:pStyle w:val="BodyFirst"/>
      </w:pPr>
    </w:p>
    <w:p w14:paraId="26FCBAB0" w14:textId="77777777" w:rsidR="00E84BF3" w:rsidRDefault="00E84BF3">
      <w:pPr>
        <w:pStyle w:val="BodyFirst"/>
      </w:pPr>
    </w:p>
    <w:p w14:paraId="0E7D4A75" w14:textId="77777777" w:rsidR="00061BBE" w:rsidRDefault="00061BBE" w:rsidP="00061BBE">
      <w:pPr>
        <w:pStyle w:val="BodyText"/>
      </w:pPr>
    </w:p>
    <w:p w14:paraId="0BF9D174" w14:textId="77777777" w:rsidR="00061BBE" w:rsidRDefault="00061BBE" w:rsidP="00061BBE">
      <w:pPr>
        <w:pStyle w:val="BodyText"/>
      </w:pPr>
    </w:p>
    <w:p w14:paraId="09A30455" w14:textId="77777777" w:rsidR="00061BBE" w:rsidRDefault="00061BBE" w:rsidP="00061BBE">
      <w:pPr>
        <w:pStyle w:val="BodyText"/>
      </w:pPr>
    </w:p>
    <w:p w14:paraId="1F9717FE" w14:textId="77777777" w:rsidR="00061BBE" w:rsidRPr="00061BBE" w:rsidRDefault="00061BBE" w:rsidP="00061BBE">
      <w:pPr>
        <w:pStyle w:val="BodyText"/>
      </w:pPr>
    </w:p>
    <w:p w14:paraId="4892C6C2" w14:textId="77777777" w:rsidR="00E84BF3" w:rsidRPr="00DF0B82" w:rsidRDefault="00E657B1">
      <w:pPr>
        <w:pStyle w:val="Date"/>
        <w:rPr>
          <w:b/>
        </w:rPr>
      </w:pPr>
      <w:r>
        <w:rPr>
          <w:b/>
        </w:rPr>
        <w:t>Dissertation Outline</w:t>
      </w:r>
    </w:p>
    <w:p w14:paraId="41DFCBA1" w14:textId="77777777" w:rsidR="00E84BF3" w:rsidRDefault="00E84BF3">
      <w:pPr>
        <w:pStyle w:val="Date"/>
      </w:pPr>
    </w:p>
    <w:p w14:paraId="4193C072" w14:textId="77777777" w:rsidR="00E84BF3" w:rsidRDefault="00E84BF3">
      <w:pPr>
        <w:pStyle w:val="Date"/>
      </w:pPr>
      <w:r>
        <w:t>Computing Science and Mathematics</w:t>
      </w:r>
    </w:p>
    <w:p w14:paraId="5C4AB0E6" w14:textId="77777777" w:rsidR="00DF0B82" w:rsidRDefault="00E84BF3">
      <w:pPr>
        <w:pStyle w:val="Date"/>
        <w:sectPr w:rsidR="00DF0B82">
          <w:footerReference w:type="even" r:id="rId7"/>
          <w:type w:val="continuous"/>
          <w:pgSz w:w="11906" w:h="16838"/>
          <w:pgMar w:top="1440" w:right="1800" w:bottom="1440" w:left="1800" w:header="720" w:footer="720" w:gutter="0"/>
          <w:pgNumType w:start="0"/>
          <w:cols w:space="720"/>
        </w:sectPr>
      </w:pPr>
      <w:r>
        <w:t>University of Stirling</w:t>
      </w:r>
    </w:p>
    <w:p>
      <w:pPr>
        <w:pStyle w:val="Heading1"/>
      </w:pPr>
      <w:r>
        <w:t xml:space="preserve">Introduction</w:t>
      </w:r>
    </w:p>
    <w:p>
      <w:pPr>
        <w:pStyle w:val="BodyFirst"/>
      </w:pPr>
      <w:r>
        <w:t xml:space="preserve">Large language models (LLMs) are widely used to write and repair code, but the most capable run as paid cloud services, so source code leaves the developer's machine. Open-weight models run locally, yet adapting one to a particular kind of work needs far more memory than running it. This project, Anneal, investigates whether a low-rank adapter (LoRA) trained only on public datasets can measurably improve the software-development ability of the open-weight Qwen3.8-27B model, when training must fit within the 32 GB of memory allocated to the GPU of one AMD machine and the adapted model must keep its 256k-token context window, and how any gain changes as a months-long improvement loop adds data.</w:t>
      </w:r>
    </w:p>
    <w:p>
      <w:pPr>
        <w:pStyle w:val="Heading2"/>
      </w:pPr>
      <w:r>
        <w:t xml:space="preserve">Background and Context</w:t>
      </w:r>
    </w:p>
    <w:p>
      <w:pPr>
        <w:pStyle w:val="BodyFirst"/>
      </w:pPr>
      <w:r>
        <w:t xml:space="preserve">Programming assistants now carry out whole tasks: implementing a function from a description, fixing a bug across several files, or answering questions about an unfamiliar codebase. The last depends on context length: a 256k-token window holds tens of thousands of lines, enough for many small and medium repositories in one request.</w:t>
      </w:r>
    </w:p>
    <w:p>
      <w:pPr>
        <w:pStyle w:val="BodyText"/>
      </w:pPr>
      <w:r>
        <w:t xml:space="preserve">Running such a model locally matters to anyone who cannot send code to a third party: companies with proprietary code, developers working offline, and students without a cloud budget. Strong open-weight models make this possible but are general-purpose, and full fine-tuning of a 27-billion-parameter model needs far more memory than a desktop offers. Parameter-efficient fine-tuning trains a small set of extra parameters instead, bringing the memory needed within reach of a high-end workstation. Whether this improves software engineering in a modern 27B model without losing long-context ability is an open question; this project measures it.</w:t>
      </w:r>
    </w:p>
    <w:p>
      <w:pPr>
        <w:pStyle w:val="Heading2"/>
      </w:pPr>
      <w:r>
        <w:t xml:space="preserve">Problem Analysis</w:t>
      </w:r>
    </w:p>
    <w:p>
      <w:pPr>
        <w:pStyle w:val="BodyFirst"/>
      </w:pPr>
      <w:r>
        <w:t xml:space="preserve">The problem is defined by four constraints, each of which becomes a requirement.</w:t>
      </w:r>
    </w:p>
    <w:p>
      <w:pPr>
        <w:pStyle w:val="BodyText"/>
      </w:pPr>
      <w:r>
        <w:rPr>
          <w:b/>
        </w:rPr>
        <w:t xml:space="preserve">R1 Memory.</w:t>
      </w:r>
      <w:r>
        <w:t xml:space="preserve"> In 16-bit precision the weights of Qwen3.8-27B alone occupy about 55 GB, more than the 32 GB the training machine allocates to its GPU, which rules out full fine-tuning and 16-bit LoRA. Anneal quantises the frozen base to 4 bits, as in QLoRA </w:t>
      </w:r>
      <w:fldSimple w:instr=" REF _RefAnneal1 \r \h ">
        <w:r>
          <w:t xml:space="preserve">[1]</w:t>
        </w:r>
      </w:fldSimple>
      <w:r>
        <w:t xml:space="preserve">, leaving about half the budget for the adapter, optimiser state and activations.</w:t>
      </w:r>
    </w:p>
    <w:p>
      <w:pPr>
        <w:pStyle w:val="BodyText"/>
      </w:pPr>
      <w:r>
        <w:rPr>
          <w:b/>
        </w:rPr>
        <w:t xml:space="preserve">R2 Context.</w:t>
      </w:r>
      <w:r>
        <w:t xml:space="preserve"> The model supports 262,144 tokens natively; only one layer in four uses full attention, and the rest are Gated DeltaNet linear-attention layers </w:t>
      </w:r>
      <w:fldSimple w:instr=" REF _RefAnneal2 \r \h ">
        <w:r>
          <w:t xml:space="preserve">[2]</w:t>
        </w:r>
      </w:fldSimple>
      <w:r>
        <w:t xml:space="preserve">. Activation memory limits training examples to 12,288 tokens; training on shorter examples could weaken long-range behaviour in ways simple tests miss </w:t>
      </w:r>
      <w:fldSimple w:instr=" REF _RefAnneal3 \r \h ">
        <w:r>
          <w:t xml:space="preserve">[3]</w:t>
        </w:r>
      </w:fldSimple>
      <w:r>
        <w:t xml:space="preserve">, so retention must be measured, not assumed.</w:t>
      </w:r>
    </w:p>
    <w:p>
      <w:pPr>
        <w:pStyle w:val="BodyText"/>
      </w:pPr>
      <w:r>
        <w:rPr>
          <w:b/>
        </w:rPr>
        <w:t xml:space="preserve">R3 Data.</w:t>
      </w:r>
      <w:r>
        <w:t xml:space="preserve"> The model reasons in a </w:t>
      </w:r>
      <w:r>
        <w:rPr>
          <w:rFonts w:ascii="Consolas" w:hAnsi="Consolas" w:cs="Consolas"/>
          <w:sz w:val="19"/>
        </w:rPr>
        <w:t xml:space="preserve">&lt;think&gt;</w:t>
      </w:r>
      <w:r>
        <w:t xml:space="preserve"> block before answering, so every training row needs a trace, or the model may learn to skip reasoning. Data must come from public datasets licensed for training, written by a teacher at least as strong as the base, and must not overlap the evaluation sets, or gains could reflect memorisation.</w:t>
      </w:r>
    </w:p>
    <w:p>
      <w:pPr>
        <w:pStyle w:val="BodyText"/>
      </w:pPr>
      <w:r>
        <w:rPr>
          <w:b/>
        </w:rPr>
        <w:t xml:space="preserve">R4 Deployment.</w:t>
      </w:r>
      <w:r>
        <w:t xml:space="preserve"> The model runs locally as a quantised GGUF file through llama.cpp, so the base and adapted models are evaluated identically in that form.</w:t>
      </w:r>
    </w:p>
    <w:p>
      <w:pPr>
        <w:pStyle w:val="BodyText"/>
      </w:pPr>
      <w:r>
        <w:t xml:space="preserve">Three scenarios drive the evaluation: (S1) writing a function from a specification; (S2) changing code across a real repository; and (S3) reasoning about a large repository held in the context. Professional issues are licensing, reproducibility, honest reporting of negative results, and the time and energy each run costs, which will be logged.</w:t>
      </w:r>
    </w:p>
    <w:p>
      <w:pPr>
        <w:pStyle w:val="Heading2"/>
      </w:pPr>
      <w:r>
        <w:t xml:space="preserve">Scope and Objectives</w:t>
      </w:r>
    </w:p>
    <w:p>
      <w:pPr>
        <w:pStyle w:val="BodyFirst"/>
      </w:pPr>
      <w:r>
        <w:t xml:space="preserve">In scope are one base model, the post-trained Qwen3.8-27B checkpoint (no pre-trained base is released </w:t>
      </w:r>
      <w:fldSimple w:instr=" REF _RefAnneal2 \r \h ">
        <w:r>
          <w:t xml:space="preserve">[2]</w:t>
        </w:r>
      </w:fldSimple>
      <w:r>
        <w:t xml:space="preserve">), LoRA over a 4-bit base, thinking mode throughout, and one owned machine with no cloud or departmental compute. Out of scope are full fine-tuning, a second model, context beyond 256k, the vision encoder, reinforcement learning and user studies. The objectives are:</w:t>
      </w:r>
    </w:p>
    <w:p>
      <w:pPr>
        <w:pStyle w:val="BodyText"/>
        <w:tabs>
          <w:tab w:val="left" w:pos="567"/>
        </w:tabs>
        <w:spacing w:after="60"/>
        <w:ind w:left="567" w:hanging="567"/>
      </w:pPr>
      <w:r>
        <w:rPr>
          <w:b/>
        </w:rPr>
        <w:t xml:space="preserve">O1</w:t>
      </w:r>
      <w:r>
        <w:tab/>
      </w:r>
      <w:r>
        <w:t xml:space="preserve">Build a reproducible pipeline on PyTorch and ROCm that trains a Qwen3.8-27B adapter on examples of up to 12,288 tokens within the machine's 32 GB GPU allocation and survives interruptions to multi-week runs, by the end of Autumn week 12.</w:t>
      </w:r>
    </w:p>
    <w:p>
      <w:pPr>
        <w:pStyle w:val="BodyText"/>
        <w:tabs>
          <w:tab w:val="left" w:pos="567"/>
        </w:tabs>
        <w:spacing w:after="60"/>
        <w:ind w:left="567" w:hanging="567"/>
      </w:pPr>
      <w:r>
        <w:rPr>
          <w:b/>
        </w:rPr>
        <w:t xml:space="preserve">O2</w:t>
      </w:r>
      <w:r>
        <w:tab/>
      </w:r>
      <w:r>
        <w:t xml:space="preserve">Assemble licence-checked public training sets with reasoning traces, decontaminated against every gate and evaluation set and documented in a data card, before each set's first loop round.</w:t>
      </w:r>
    </w:p>
    <w:p>
      <w:pPr>
        <w:pStyle w:val="BodyText"/>
        <w:tabs>
          <w:tab w:val="left" w:pos="567"/>
        </w:tabs>
        <w:spacing w:after="60"/>
        <w:ind w:left="567" w:hanging="567"/>
      </w:pPr>
      <w:r>
        <w:rPr>
          <w:b/>
        </w:rPr>
        <w:t xml:space="preserve">O3</w:t>
      </w:r>
      <w:r>
        <w:tab/>
      </w:r>
      <w:r>
        <w:t xml:space="preserve">Produce an adapter that raises pass@1 on a held-out six-language coding test over the base model, with a 95% confidence interval for the difference that excludes zero, and report the same comparison on post-release LiveCodeBench problems and a personal task set.</w:t>
      </w:r>
    </w:p>
    <w:p>
      <w:pPr>
        <w:pStyle w:val="BodyText"/>
        <w:tabs>
          <w:tab w:val="left" w:pos="567"/>
        </w:tabs>
        <w:spacing w:after="60"/>
        <w:ind w:left="567" w:hanging="567"/>
      </w:pPr>
      <w:r>
        <w:rPr>
          <w:b/>
        </w:rPr>
        <w:t xml:space="preserve">O4</w:t>
      </w:r>
      <w:r>
        <w:tab/>
      </w:r>
      <w:r>
        <w:t xml:space="preserve">Keep HumanEval+ and MBPP+, long-context accuracy (RULER and LongCodeBench, 32k to 256k tokens) and a non-coding check within 3 percentage points of the base model.</w:t>
      </w:r>
    </w:p>
    <w:p>
      <w:pPr>
        <w:pStyle w:val="BodyText"/>
        <w:tabs>
          <w:tab w:val="left" w:pos="567"/>
        </w:tabs>
        <w:spacing w:after="60"/>
        <w:ind w:left="567" w:hanging="567"/>
      </w:pPr>
      <w:r>
        <w:rPr>
          <w:b/>
        </w:rPr>
        <w:t xml:space="preserve">O5</w:t>
      </w:r>
      <w:r>
        <w:tab/>
      </w:r>
      <w:r>
        <w:t xml:space="preserve">Measure how coding gain and retention change as loop rounds add public data, and the effect of rank, target modules, example length and base precision through ablations.</w:t>
      </w:r>
    </w:p>
    <w:p>
      <w:pPr>
        <w:pStyle w:val="BodyText"/>
        <w:tabs>
          <w:tab w:val="left" w:pos="567"/>
        </w:tabs>
        <w:spacing w:after="60"/>
        <w:ind w:left="567" w:hanging="567"/>
      </w:pPr>
      <w:r>
        <w:rPr>
          <w:b/>
        </w:rPr>
        <w:t xml:space="preserve">O6</w:t>
      </w:r>
      <w:r>
        <w:tab/>
      </w:r>
      <w:r>
        <w:t xml:space="preserve">Publish the pipeline, configurations, data card and adapter so that the results can be reproduced.</w:t>
      </w:r>
    </w:p>
    <w:p>
      <w:pPr>
        <w:pStyle w:val="BodyText"/>
      </w:pPr>
      <w:r>
        <w:t xml:space="preserve">The expected results are an adapter, an open pipeline for AMD hardware and a measured account of what LoRA can achieve under this budget, including negative results. This gives evidence on parameter-efficient fine-tuning outside the NVIDIA CUDA ecosystem in which LoRA and QLoRA were developed </w:t>
      </w:r>
      <w:fldSimple w:instr=" REF _RefAnneal4 \r \h ">
        <w:r>
          <w:t xml:space="preserve">[4]</w:t>
        </w:r>
      </w:fldSimple>
      <w:r>
        <w:t xml:space="preserve">, </w:t>
      </w:r>
      <w:fldSimple w:instr=" REF _RefAnneal1 \r \h ">
        <w:r>
          <w:t xml:space="preserve">[1]</w:t>
        </w:r>
      </w:fldSimple>
      <w:r>
        <w:t xml:space="preserve">.</w:t>
      </w:r>
    </w:p>
    <w:p>
      <w:pPr>
        <w:pStyle w:val="Heading1"/>
      </w:pPr>
      <w:r>
        <w:t xml:space="preserve">State of The Art</w:t>
      </w:r>
    </w:p>
    <w:p>
      <w:pPr>
        <w:pStyle w:val="BodyFirst"/>
      </w:pPr>
      <w:r>
        <w:t xml:space="preserve">Three bodies of work shape this project: parameter-efficient fine-tuning, which makes training possible within 32 GB; long-context research, which defines what must be preserved; and execution-based code benchmarks, which define how improvement is measured. Six papers are reviewed below, then the technologies used.</w:t>
      </w:r>
    </w:p>
    <w:p>
      <w:pPr>
        <w:pStyle w:val="Heading2"/>
      </w:pPr>
      <w:r>
        <w:t xml:space="preserve">Parameter-Efficient Fine-Tuning</w:t>
      </w:r>
    </w:p>
    <w:p>
      <w:pPr>
        <w:pStyle w:val="Heading3"/>
      </w:pPr>
      <w:r>
        <w:t xml:space="preserve">Low-Rank Adaptation</w:t>
      </w:r>
    </w:p>
    <w:p>
      <w:pPr>
        <w:pStyle w:val="BodyFirst"/>
      </w:pPr>
      <w:r>
        <w:t xml:space="preserve">Hu et al. </w:t>
      </w:r>
      <w:fldSimple w:instr=" REF _RefAnneal4 \r \h ">
        <w:r>
          <w:t xml:space="preserve">[4]</w:t>
        </w:r>
      </w:fldSimple>
      <w:r>
        <w:t xml:space="preserve"> freeze the pretrained weights and learn each weight update as the product of two small matrices of rank r. On GPT-3 175B this cut the number of trainable parameters 10,000-fold and GPU memory threefold while matching full fine-tuning, and a merged adapter adds no inference latency. Its weaknesses for this project are that the frozen base stays in 16-bit precision, about 55 GB at 27B, and that the evaluation used short natural-language tasks and adapted only the attention projections. Anneal adopts the mechanism and separate adapter loading, but treats rank and target modules as variables to test.</w:t>
      </w:r>
    </w:p>
    <w:p>
      <w:pPr>
        <w:pStyle w:val="Heading3"/>
      </w:pPr>
      <w:r>
        <w:t xml:space="preserve">Quantised LoRA</w:t>
      </w:r>
    </w:p>
    <w:p>
      <w:pPr>
        <w:pStyle w:val="BodyFirst"/>
      </w:pPr>
      <w:r>
        <w:t xml:space="preserve">Dettmers et al. </w:t>
      </w:r>
      <w:fldSimple w:instr=" REF _RefAnneal1 \r \h ">
        <w:r>
          <w:t xml:space="preserve">[1]</w:t>
        </w:r>
      </w:fldSimple>
      <w:r>
        <w:t xml:space="preserve"> backpropagate through a frozen base quantised to 4-bit NormalFloat (NF4), adding double quantisation and paged optimisers. They fine-tuned a 65B model on one 48 GB GPU while matching 16-bit fine-tuning, and found that LoRA on all linear layers, not only attention, was needed to reach that quality. This suggested Anneal's budget was workable, which Section 3.1 confirms by measurement. However, the evaluation centred on chat and knowledge benchmarks with short sequences on NVIDIA GPUs, and the training format differs from the GGUF format used at deployment. Anneal adopts the recipe, a 4-bit NF4 base with LoRA on attention and feed-forward projections. Because Unsloth advises against 4-bit training on the closely related Qwen3.5 models, citing larger-than-normal quantisation differences </w:t>
      </w:r>
      <w:fldSimple w:instr=" REF _RefAnneal5 \r \h ">
        <w:r>
          <w:t xml:space="preserve">[5]</w:t>
        </w:r>
      </w:fldSimple>
      <w:r>
        <w:t xml:space="preserve">, Anneal starts from the pre-quantised checkpoint Unsloth's guide uses for QLoRA </w:t>
      </w:r>
      <w:fldSimple w:instr=" REF _RefAnneal6 \r \h ">
        <w:r>
          <w:t xml:space="preserve">[6]</w:t>
        </w:r>
      </w:fldSimple>
      <w:r>
        <w:t xml:space="preserve">, and ablation A5 trains one 8-bit adapter to measure the remaining cost.</w:t>
      </w:r>
    </w:p>
    <w:p>
      <w:pPr>
        <w:pStyle w:val="Heading3"/>
      </w:pPr>
      <w:r>
        <w:t xml:space="preserve">What LoRA Learns and Forgets</w:t>
      </w:r>
    </w:p>
    <w:p>
      <w:pPr>
        <w:pStyle w:val="BodyFirst"/>
      </w:pPr>
      <w:r>
        <w:t xml:space="preserve">Biderman et al. </w:t>
      </w:r>
      <w:fldSimple w:instr=" REF _RefAnneal7 \r \h ">
        <w:r>
          <w:t xml:space="preserve">[7]</w:t>
        </w:r>
      </w:fldSimple>
      <w:r>
        <w:t xml:space="preserve"> compared LoRA with full fine-tuning on code and mathematics. At standard ranks LoRA learned substantially less, but better preserved performance outside the target domain, and full fine-tuning learned weight changes of 10 to 100 times higher rank. They also report that forgetting grows with training duration, a direct risk for a months-long loop. The study used Llama-2-7B, far weaker than Qwen3.8-27B, so whether a strong base leaves similar room to improve is open. For Anneal the paper sets realistic expectations and justifies the rank ablation and the non-coding check.</w:t>
      </w:r>
    </w:p>
    <w:p>
      <w:pPr>
        <w:pStyle w:val="Heading2"/>
      </w:pPr>
      <w:r>
        <w:t xml:space="preserve">Long-Context Behaviour</w:t>
      </w:r>
    </w:p>
    <w:p>
      <w:pPr>
        <w:pStyle w:val="Heading3"/>
      </w:pPr>
      <w:r>
        <w:t xml:space="preserve">Long-Context Fine-Tuning</w:t>
      </w:r>
    </w:p>
    <w:p>
      <w:pPr>
        <w:pStyle w:val="BodyFirst"/>
      </w:pPr>
      <w:r>
        <w:t xml:space="preserve">Chen et al. </w:t>
      </w:r>
      <w:fldSimple w:instr=" REF _RefAnneal8 \r \h ">
        <w:r>
          <w:t xml:space="preserve">[8]</w:t>
        </w:r>
      </w:fldSimple>
      <w:r>
        <w:t xml:space="preserve"> extend context windows using shifted sparse attention to cut training cost. They show that plain LoRA is not enough for extension: on Llama 2 7B at 32k tokens it reached a perplexity of 11.44 against 8.08 for full fine-tuning, while LoRA with trainable embedding and normalisation layers reached 8.12. Anneal preserves an existing 256k window rather than extending one, and shifted sparse attention assumes standard attention in every layer, whereas three in four Qwen3.8 layers use DeltaNet, so the method does not transfer directly. Two lessons do: which layers an adapter trains changes long-range results, so retention must be tested, and if it fails, long examples or trainable normalisation layers are remedies to try (ablation A4).</w:t>
      </w:r>
    </w:p>
    <w:p>
      <w:pPr>
        <w:pStyle w:val="Heading3"/>
      </w:pPr>
      <w:r>
        <w:t xml:space="preserve">Measuring Effective Context</w:t>
      </w:r>
    </w:p>
    <w:p>
      <w:pPr>
        <w:pStyle w:val="BodyFirst"/>
      </w:pPr>
      <w:r>
        <w:t xml:space="preserve">Hsieh et al. </w:t>
      </w:r>
      <w:fldSimple w:instr=" REF _RefAnneal3 \r \h ">
        <w:r>
          <w:t xml:space="preserve">[3]</w:t>
        </w:r>
      </w:fldSimple>
      <w:r>
        <w:t xml:space="preserve"> show that the popular needle-in-a-haystack test overstates context ability. RULER adds multi-key retrieval, variable tracking, aggregation and question answering at configurable lengths. Almost every model tested passed the simple needle test, but only about half of those claiming 32k tokens or more performed satisfactorily at 32k. RULER is synthetic and contains no code, its main weakness here, so Anneal runs it at 32k to 256k alongside LongCodeBench (Table 1), which covers scenario S3.</w:t>
      </w:r>
    </w:p>
    <w:p>
      <w:pPr>
        <w:pStyle w:val="Heading2"/>
      </w:pPr>
      <w:r>
        <w:t xml:space="preserve">Evaluating Software-Engineering Ability</w:t>
      </w:r>
    </w:p>
    <w:p>
      <w:pPr>
        <w:pStyle w:val="BodyFirst"/>
      </w:pPr>
      <w:r>
        <w:t xml:space="preserve">Jimenez et al. </w:t>
      </w:r>
      <w:fldSimple w:instr=" REF _RefAnneal9 \r \h ">
        <w:r>
          <w:t xml:space="preserve">[9]</w:t>
        </w:r>
      </w:fldSimple>
      <w:r>
        <w:t xml:space="preserve"> built SWE-bench from 2,294 GitHub issues across 12 Python repositories: a model must edit the repository until the project's own tests pass, which matches scenario S2 more closely than single-function benchmarks. Its weaknesses are cost and noise. Each task needs a container and a token-hungry agent loop, scores depend on the agent scaffold, and underspecified tasks led to SWE-bench Verified, a human-validated subset of 500 </w:t>
      </w:r>
      <w:fldSimple w:instr=" REF _RefAnneal10 \r \h ">
        <w:r>
          <w:t xml:space="preserve">[10]</w:t>
        </w:r>
      </w:fldSimple>
      <w:r>
        <w:t xml:space="preserve">. Public repositories also risk contamination. At this chip's generation speed (Section 3.5) the 500 Verified tasks would likely take days per system, so Anneal instead borrows SWE-bench's execution-based design for a personal set of repository-scale tasks drawn from the author's own code, which public models are less likely to have seen.</w:t>
      </w:r>
    </w:p>
    <w:p>
      <w:pPr>
        <w:pStyle w:val="Heading2"/>
      </w:pPr>
      <w:r>
        <w:t xml:space="preserve">Technologies and Related Products</w:t>
      </w:r>
    </w:p>
    <w:p>
      <w:pPr>
        <w:pStyle w:val="BodyFirst"/>
      </w:pPr>
      <w:r>
        <w:t xml:space="preserve">Table 1 summarises the alternatives considered and why each choice was made.</w:t>
      </w:r>
    </w:p>
    <w:p>
      <w:pPr>
        <w:pStyle w:val="BodyCentre"/>
        <w:keepNext/>
        <w:spacing w:before="120" w:after="60"/>
      </w:pPr>
      <w:r>
        <w:rPr>
          <w:b/>
          <w:sz w:val="20"/>
        </w:rPr>
        <w:t xml:space="preserve">Table 1.</w:t>
      </w:r>
      <w:r>
        <w:rPr>
          <w:sz w:val="20"/>
        </w:rPr>
        <w:t xml:space="preserve"> Technology choices.</w:t>
      </w:r>
    </w:p>
    <w:tbl>
      <w:tblPr>
        <w:tblStyle w:val="GridTable4-Accent31"/>
        <w:tblW w:w="8296" w:type="dxa"/>
        <w:tblLayout w:type="fixed"/>
        <w:tblLook w:val="04A0" w:firstRow="1" w:lastRow="0" w:firstColumn="1" w:lastColumn="0" w:noHBand="0" w:noVBand="1"/>
      </w:tblPr>
      <w:tblGrid>
        <w:gridCol w:w="1700"/>
        <w:gridCol w:w="2600"/>
        <w:gridCol w:w="3996"/>
      </w:tblGrid>
      <w:tr>
        <w:trPr>
          <w:cantSplit/>
          <w:tblHeader/>
        </w:trPr>
        <w:tc>
          <w:tcPr>
            <w:tcW w:w="1700" w:type="dxa"/>
          </w:tcPr>
          <w:p>
            <w:pPr>
              <w:pStyle w:val="BodyText"/>
              <w:keepNext/>
              <w:spacing w:before="20" w:after="20"/>
              <w:jc w:val="left"/>
            </w:pPr>
            <w:r>
              <w:rPr>
                <w:sz w:val="20"/>
              </w:rPr>
              <w:t xml:space="preserve">Component</w:t>
            </w:r>
          </w:p>
        </w:tc>
        <w:tc>
          <w:tcPr>
            <w:tcW w:w="2600" w:type="dxa"/>
          </w:tcPr>
          <w:p>
            <w:pPr>
              <w:pStyle w:val="BodyText"/>
              <w:keepNext/>
              <w:spacing w:before="20" w:after="20"/>
              <w:jc w:val="left"/>
            </w:pPr>
            <w:r>
              <w:rPr>
                <w:sz w:val="20"/>
              </w:rPr>
              <w:t xml:space="preserve">Options considered</w:t>
            </w:r>
          </w:p>
        </w:tc>
        <w:tc>
          <w:tcPr>
            <w:tcW w:w="3996" w:type="dxa"/>
          </w:tcPr>
          <w:p>
            <w:pPr>
              <w:pStyle w:val="BodyText"/>
              <w:keepNext/>
              <w:spacing w:before="20" w:after="20"/>
              <w:jc w:val="left"/>
            </w:pPr>
            <w:r>
              <w:rPr>
                <w:sz w:val="20"/>
              </w:rPr>
              <w:t xml:space="preserve">Choice and reason</w:t>
            </w:r>
          </w:p>
        </w:tc>
      </w:tr>
      <w:tr>
        <w:trPr>
          <w:cantSplit/>
        </w:trPr>
        <w:tc>
          <w:tcPr>
            <w:tcW w:w="1700" w:type="dxa"/>
          </w:tcPr>
          <w:p>
            <w:pPr>
              <w:pStyle w:val="BodyText"/>
              <w:keepNext/>
              <w:spacing w:before="20" w:after="20"/>
              <w:jc w:val="left"/>
            </w:pPr>
            <w:r>
              <w:rPr>
                <w:sz w:val="20"/>
              </w:rPr>
              <w:t xml:space="preserve">Training stack</w:t>
            </w:r>
          </w:p>
        </w:tc>
        <w:tc>
          <w:tcPr>
            <w:tcW w:w="2600" w:type="dxa"/>
          </w:tcPr>
          <w:p>
            <w:pPr>
              <w:pStyle w:val="BodyText"/>
              <w:keepNext/>
              <w:spacing w:before="20" w:after="20"/>
              <w:jc w:val="left"/>
            </w:pPr>
            <w:r>
              <w:rPr>
                <w:sz w:val="20"/>
              </w:rPr>
              <w:t xml:space="preserve">Unsloth; PEFT with bitsandbytes; CUDA-only tools</w:t>
            </w:r>
          </w:p>
        </w:tc>
        <w:tc>
          <w:tcPr>
            <w:tcW w:w="3996" w:type="dxa"/>
          </w:tcPr>
          <w:p>
            <w:pPr>
              <w:pStyle w:val="BodyText"/>
              <w:keepNext/>
              <w:spacing w:before="20" w:after="20"/>
              <w:jc w:val="left"/>
            </w:pPr>
            <w:r>
              <w:rPr>
                <w:sz w:val="20"/>
              </w:rPr>
              <w:t xml:space="preserve">Unsloth </w:t>
            </w:r>
            <w:fldSimple w:instr=" REF _RefAnneal11 \r \h ">
              <w:r>
                <w:rPr>
                  <w:sz w:val="20"/>
                </w:rPr>
                <w:t xml:space="preserve">[11]</w:t>
              </w:r>
            </w:fldSimple>
            <w:r>
              <w:rPr>
                <w:sz w:val="20"/>
              </w:rPr>
              <w:t xml:space="preserve"> on PyTorch with ROCm </w:t>
            </w:r>
            <w:fldSimple w:instr=" REF _RefAnneal12 \r \h ">
              <w:r>
                <w:rPr>
                  <w:sz w:val="20"/>
                </w:rPr>
                <w:t xml:space="preserve">[12]</w:t>
              </w:r>
            </w:fldSimple>
            <w:r>
              <w:rPr>
                <w:sz w:val="20"/>
              </w:rPr>
              <w:t xml:space="preserve">, running natively on Windows 11, with the pre-quantised 4-bit checkpoint (bitsandbytes </w:t>
            </w:r>
            <w:fldSimple w:instr=" REF _RefAnneal13 \r \h ">
              <w:r>
                <w:rPr>
                  <w:sz w:val="20"/>
                </w:rPr>
                <w:t xml:space="preserve">[13]</w:t>
              </w:r>
            </w:fldSimple>
            <w:r>
              <w:rPr>
                <w:sz w:val="20"/>
              </w:rPr>
              <w:t xml:space="preserve">) that Unsloth documents for Qwen3.8-27B </w:t>
            </w:r>
            <w:fldSimple w:instr=" REF _RefAnneal6 \r \h ">
              <w:r>
                <w:rPr>
                  <w:sz w:val="20"/>
                </w:rPr>
                <w:t xml:space="preserve">[6]</w:t>
              </w:r>
            </w:fldSimple>
            <w:r>
              <w:rPr>
                <w:sz w:val="20"/>
              </w:rPr>
              <w:t xml:space="preserve">. Plain PEFT </w:t>
            </w:r>
            <w:fldSimple w:instr=" REF _RefAnneal14 \r \h ">
              <w:r>
                <w:rPr>
                  <w:sz w:val="20"/>
                </w:rPr>
                <w:t xml:space="preserve">[14]</w:t>
              </w:r>
            </w:fldSimple>
            <w:r>
              <w:rPr>
                <w:sz w:val="20"/>
              </w:rPr>
              <w:t xml:space="preserve"> would need 40 to 46 GiB (Table 2); CUDA-only tools do not run here.</w:t>
            </w:r>
          </w:p>
        </w:tc>
      </w:tr>
      <w:tr>
        <w:trPr>
          <w:cantSplit/>
        </w:trPr>
        <w:tc>
          <w:tcPr>
            <w:tcW w:w="1700" w:type="dxa"/>
          </w:tcPr>
          <w:p>
            <w:pPr>
              <w:pStyle w:val="BodyText"/>
              <w:keepNext/>
              <w:spacing w:before="20" w:after="20"/>
              <w:jc w:val="left"/>
            </w:pPr>
            <w:r>
              <w:rPr>
                <w:sz w:val="20"/>
              </w:rPr>
              <w:t xml:space="preserve">Inference</w:t>
            </w:r>
          </w:p>
        </w:tc>
        <w:tc>
          <w:tcPr>
            <w:tcW w:w="2600" w:type="dxa"/>
          </w:tcPr>
          <w:p>
            <w:pPr>
              <w:pStyle w:val="BodyText"/>
              <w:keepNext/>
              <w:spacing w:before="20" w:after="20"/>
              <w:jc w:val="left"/>
            </w:pPr>
            <w:r>
              <w:rPr>
                <w:sz w:val="20"/>
              </w:rPr>
              <w:t xml:space="preserve">llama.cpp (GGUF); Ollama; PyTorch</w:t>
            </w:r>
          </w:p>
        </w:tc>
        <w:tc>
          <w:tcPr>
            <w:tcW w:w="3996" w:type="dxa"/>
          </w:tcPr>
          <w:p>
            <w:pPr>
              <w:pStyle w:val="BodyText"/>
              <w:keepNext/>
              <w:spacing w:before="20" w:after="20"/>
              <w:jc w:val="left"/>
            </w:pPr>
            <w:r>
              <w:rPr>
                <w:sz w:val="20"/>
              </w:rPr>
              <w:t xml:space="preserve">llama.cpp </w:t>
            </w:r>
            <w:fldSimple w:instr=" REF _RefAnneal15 \r \h ">
              <w:r>
                <w:rPr>
                  <w:sz w:val="20"/>
                </w:rPr>
                <w:t xml:space="preserve">[15]</w:t>
              </w:r>
            </w:fldSimple>
            <w:r>
              <w:rPr>
                <w:sz w:val="20"/>
              </w:rPr>
              <w:t xml:space="preserve">, Vulkan build: full 262k context with a quantised KV cache, separate reasoning output and runtime adapters.</w:t>
            </w:r>
          </w:p>
        </w:tc>
      </w:tr>
      <w:tr>
        <w:trPr>
          <w:cantSplit/>
        </w:trPr>
        <w:tc>
          <w:tcPr>
            <w:tcW w:w="1700" w:type="dxa"/>
          </w:tcPr>
          <w:p>
            <w:pPr>
              <w:pStyle w:val="BodyText"/>
              <w:keepNext/>
              <w:spacing w:before="20" w:after="20"/>
              <w:jc w:val="left"/>
            </w:pPr>
            <w:r>
              <w:rPr>
                <w:sz w:val="20"/>
              </w:rPr>
              <w:t xml:space="preserve">Code benchmarks</w:t>
            </w:r>
          </w:p>
        </w:tc>
        <w:tc>
          <w:tcPr>
            <w:tcW w:w="2600" w:type="dxa"/>
          </w:tcPr>
          <w:p>
            <w:pPr>
              <w:pStyle w:val="BodyText"/>
              <w:keepNext/>
              <w:spacing w:before="20" w:after="20"/>
              <w:jc w:val="left"/>
            </w:pPr>
            <w:r>
              <w:rPr>
                <w:sz w:val="20"/>
              </w:rPr>
              <w:t xml:space="preserve">HumanEval+ and MBPP+; CodeContests; LiveCodeBench; SWE-bench Verified</w:t>
            </w:r>
          </w:p>
        </w:tc>
        <w:tc>
          <w:tcPr>
            <w:tcW w:w="3996" w:type="dxa"/>
          </w:tcPr>
          <w:p>
            <w:pPr>
              <w:pStyle w:val="BodyText"/>
              <w:keepNext/>
              <w:spacing w:before="20" w:after="20"/>
              <w:jc w:val="left"/>
            </w:pPr>
            <w:r>
              <w:rPr>
                <w:sz w:val="20"/>
              </w:rPr>
              <w:t xml:space="preserve">A six-language CodeContests test (Section 3.3) as the primary measure, since the base passes 97% of HumanEval; EvalPlus </w:t>
            </w:r>
            <w:fldSimple w:instr=" REF _RefAnneal16 \r \h ">
              <w:r>
                <w:rPr>
                  <w:sz w:val="20"/>
                </w:rPr>
                <w:t xml:space="preserve">[16]</w:t>
              </w:r>
            </w:fldSimple>
            <w:r>
              <w:rPr>
                <w:sz w:val="20"/>
              </w:rPr>
              <w:t xml:space="preserve"> HumanEval+ and MBPP+ (542 problems) check for regressions; post-release LiveCodeBench </w:t>
            </w:r>
            <w:fldSimple w:instr=" REF _RefAnneal17 \r \h ">
              <w:r>
                <w:rPr>
                  <w:sz w:val="20"/>
                </w:rPr>
                <w:t xml:space="preserve">[17]</w:t>
              </w:r>
            </w:fldSimple>
            <w:r>
              <w:rPr>
                <w:sz w:val="20"/>
              </w:rPr>
              <w:t xml:space="preserve"> problems guard against contamination; SWE-bench is too slow (Section 2.3).</w:t>
            </w:r>
          </w:p>
        </w:tc>
      </w:tr>
      <w:tr>
        <w:trPr>
          <w:cantSplit/>
        </w:trPr>
        <w:tc>
          <w:tcPr>
            <w:tcW w:w="1700" w:type="dxa"/>
          </w:tcPr>
          <w:p>
            <w:pPr>
              <w:pStyle w:val="BodyText"/>
              <w:keepNext/>
              <w:spacing w:before="20" w:after="20"/>
              <w:jc w:val="left"/>
            </w:pPr>
            <w:r>
              <w:rPr>
                <w:sz w:val="20"/>
              </w:rPr>
              <w:t xml:space="preserve">Long-context code</w:t>
            </w:r>
          </w:p>
        </w:tc>
        <w:tc>
          <w:tcPr>
            <w:tcW w:w="2600" w:type="dxa"/>
          </w:tcPr>
          <w:p>
            <w:pPr>
              <w:pStyle w:val="BodyText"/>
              <w:keepNext/>
              <w:spacing w:before="20" w:after="20"/>
              <w:jc w:val="left"/>
            </w:pPr>
            <w:r>
              <w:rPr>
                <w:sz w:val="20"/>
              </w:rPr>
              <w:t xml:space="preserve">RepoQA; LongCodeBench</w:t>
            </w:r>
          </w:p>
        </w:tc>
        <w:tc>
          <w:tcPr>
            <w:tcW w:w="3996" w:type="dxa"/>
          </w:tcPr>
          <w:p>
            <w:pPr>
              <w:pStyle w:val="BodyText"/>
              <w:keepNext/>
              <w:spacing w:before="20" w:after="20"/>
              <w:jc w:val="left"/>
            </w:pPr>
            <w:r>
              <w:rPr>
                <w:sz w:val="20"/>
              </w:rPr>
              <w:t xml:space="preserve">LongCodeBench </w:t>
            </w:r>
            <w:fldSimple w:instr=" REF _RefAnneal18 \r \h ">
              <w:r>
                <w:rPr>
                  <w:sz w:val="20"/>
                </w:rPr>
                <w:t xml:space="preserve">[18]</w:t>
              </w:r>
            </w:fldSimple>
            <w:r>
              <w:rPr>
                <w:sz w:val="20"/>
              </w:rPr>
              <w:t xml:space="preserve">, which covers 32k to 1M tokens; RepoQA </w:t>
            </w:r>
            <w:fldSimple w:instr=" REF _RefAnneal19 \r \h ">
              <w:r>
                <w:rPr>
                  <w:sz w:val="20"/>
                </w:rPr>
                <w:t xml:space="preserve">[19]</w:t>
              </w:r>
            </w:fldSimple>
            <w:r>
              <w:rPr>
                <w:sz w:val="20"/>
              </w:rPr>
              <w:t xml:space="preserve"> defaults to 16k-token contexts.</w:t>
            </w:r>
          </w:p>
        </w:tc>
      </w:tr>
      <w:tr>
        <w:trPr>
          <w:cantSplit/>
        </w:trPr>
        <w:tc>
          <w:tcPr>
            <w:tcW w:w="1700" w:type="dxa"/>
          </w:tcPr>
          <w:p>
            <w:pPr>
              <w:pStyle w:val="BodyText"/>
              <w:keepNext/>
              <w:spacing w:before="20" w:after="20"/>
              <w:jc w:val="left"/>
            </w:pPr>
            <w:r>
              <w:rPr>
                <w:sz w:val="20"/>
              </w:rPr>
              <w:t xml:space="preserve">Training data</w:t>
            </w:r>
          </w:p>
        </w:tc>
        <w:tc>
          <w:tcPr>
            <w:tcW w:w="2600" w:type="dxa"/>
          </w:tcPr>
          <w:p>
            <w:pPr>
              <w:pStyle w:val="BodyText"/>
              <w:keepNext/>
              <w:spacing w:before="20" w:after="20"/>
              <w:jc w:val="left"/>
            </w:pPr>
            <w:r>
              <w:rPr>
                <w:sz w:val="20"/>
              </w:rPr>
              <w:t xml:space="preserve">Public AI-written traces; human-written sets; own traces; teacher API; SWE-Gym</w:t>
            </w:r>
          </w:p>
        </w:tc>
        <w:tc>
          <w:tcPr>
            <w:tcW w:w="3996" w:type="dxa"/>
          </w:tcPr>
          <w:p>
            <w:pPr>
              <w:pStyle w:val="BodyText"/>
              <w:keepNext/>
              <w:spacing w:before="20" w:after="20"/>
              <w:jc w:val="left"/>
            </w:pPr>
            <w:r>
              <w:rPr>
                <w:sz w:val="20"/>
              </w:rPr>
              <w:t xml:space="preserve">Test-passed DeepSeek V4-Flash bug-fix and GLM-5.3 terminal runs </w:t>
            </w:r>
            <w:fldSimple w:instr=" REF _RefAnneal20 \r \h ">
              <w:r>
                <w:rPr>
                  <w:sz w:val="20"/>
                </w:rPr>
                <w:t xml:space="preserve">[20]</w:t>
              </w:r>
            </w:fldSimple>
            <w:r>
              <w:rPr>
                <w:sz w:val="20"/>
              </w:rPr>
              <w:t xml:space="preserve">, </w:t>
            </w:r>
            <w:fldSimple w:instr=" REF _RefAnneal21 \r \h ">
              <w:r>
                <w:rPr>
                  <w:sz w:val="20"/>
                </w:rPr>
                <w:t xml:space="preserve">[21]</w:t>
              </w:r>
            </w:fldSimple>
            <w:r>
              <w:rPr>
                <w:sz w:val="20"/>
              </w:rPr>
              <w:t xml:space="preserve"> (CC-BY-4.0) and V4-Pro coding answers </w:t>
            </w:r>
            <w:fldSimple w:instr=" REF _RefAnneal22 \r \h ">
              <w:r>
                <w:rPr>
                  <w:sz w:val="20"/>
                </w:rPr>
                <w:t xml:space="preserve">[22]</w:t>
              </w:r>
            </w:fldSimple>
            <w:r>
              <w:rPr>
                <w:sz w:val="20"/>
              </w:rPr>
              <w:t xml:space="preserve">, </w:t>
            </w:r>
            <w:fldSimple w:instr=" REF _RefAnneal23 \r \h ">
              <w:r>
                <w:rPr>
                  <w:sz w:val="20"/>
                </w:rPr>
                <w:t xml:space="preserve">[23]</w:t>
              </w:r>
            </w:fldSimple>
            <w:r>
              <w:rPr>
                <w:sz w:val="20"/>
              </w:rPr>
              <w:t xml:space="preserve"> (Apache-2.0), other languages before Python. Own and OpenCodeReasoning </w:t>
            </w:r>
            <w:fldSimple w:instr=" REF _RefAnneal24 \r \h ">
              <w:r>
                <w:rPr>
                  <w:sz w:val="20"/>
                </w:rPr>
                <w:t xml:space="preserve">[24]</w:t>
              </w:r>
            </w:fldSimple>
            <w:r>
              <w:rPr>
                <w:sz w:val="20"/>
              </w:rPr>
              <w:t xml:space="preserve"> traces only in the first run; human-written sets lack traces; public agent-session sets lack raw reasoning; API-generated rows are not public; SWE-Gym </w:t>
            </w:r>
            <w:fldSimple w:instr=" REF _RefAnneal25 \r \h ">
              <w:r>
                <w:rPr>
                  <w:sz w:val="20"/>
                </w:rPr>
                <w:t xml:space="preserve">[25]</w:t>
              </w:r>
            </w:fldSimple>
            <w:r>
              <w:rPr>
                <w:sz w:val="20"/>
              </w:rPr>
              <w:t xml:space="preserve"> trajectories come from 2024 models weaker than the base.</w:t>
            </w:r>
          </w:p>
        </w:tc>
      </w:tr>
      <w:tr>
        <w:trPr>
          <w:cantSplit/>
        </w:trPr>
        <w:tc>
          <w:tcPr>
            <w:tcW w:w="1700" w:type="dxa"/>
          </w:tcPr>
          <w:p>
            <w:pPr>
              <w:pStyle w:val="BodyText"/>
              <w:spacing w:before="20" w:after="20"/>
              <w:jc w:val="left"/>
            </w:pPr>
            <w:r>
              <w:rPr>
                <w:sz w:val="20"/>
              </w:rPr>
              <w:t xml:space="preserve">Existing products</w:t>
            </w:r>
          </w:p>
        </w:tc>
        <w:tc>
          <w:tcPr>
            <w:tcW w:w="2600" w:type="dxa"/>
          </w:tcPr>
          <w:p>
            <w:pPr>
              <w:pStyle w:val="BodyText"/>
              <w:spacing w:before="20" w:after="20"/>
              <w:jc w:val="left"/>
            </w:pPr>
            <w:r>
              <w:rPr>
                <w:sz w:val="20"/>
              </w:rPr>
              <w:t xml:space="preserve">Cloud assistants (e.g. GitHub Copilot); vendor code models</w:t>
            </w:r>
          </w:p>
        </w:tc>
        <w:tc>
          <w:tcPr>
            <w:tcW w:w="3996" w:type="dxa"/>
          </w:tcPr>
          <w:p>
            <w:pPr>
              <w:pStyle w:val="BodyText"/>
              <w:spacing w:before="20" w:after="20"/>
              <w:jc w:val="left"/>
            </w:pPr>
            <w:r>
              <w:rPr>
                <w:sz w:val="20"/>
              </w:rPr>
              <w:t xml:space="preserve">Cloud assistants send code off the machine; vendor models cannot be specialised further without solving the problem Anneal addresses.</w:t>
            </w:r>
          </w:p>
        </w:tc>
      </w:tr>
    </w:tbl>
    <w:p>
      <w:pPr>
        <w:pStyle w:val="BodyText"/>
        <w:spacing w:after="0"/>
      </w:pPr>
    </w:p>
    <w:p>
      <w:pPr>
        <w:pStyle w:val="BodyText"/>
      </w:pPr>
      <w:r>
        <w:t xml:space="preserve">QLoRA fixes the training configuration, LoRA and Biderman et al. frame expectations, LongLoRA and RULER define the long-context risk, and SWE-bench shapes the realistic tasks. Anneal combines these at 256k context, on AMD hardware, within 32 GB.</w:t>
      </w:r>
    </w:p>
    <w:p>
      <w:pPr>
        <w:pStyle w:val="Heading1"/>
      </w:pPr>
      <w:r>
        <w:t xml:space="preserve">Prototype Development</w:t>
      </w:r>
    </w:p>
    <w:p>
      <w:pPr>
        <w:pStyle w:val="BodyFirst"/>
      </w:pPr>
      <w:r>
        <w:t xml:space="preserve">The prototype is a version-controlled repository of scripts and configuration for every stage in Figure 1. It was brought up on the training machine in October 2026; the first run, round 0 (Section 3.2), was trained and scored by 21 October.</w:t>
      </w:r>
    </w:p>
    <w:p>
      <w:pPr>
        <w:pStyle w:val="BodyCentre"/>
        <w:keepNext/>
        <w:spacing w:before="120"/>
      </w:pPr>
      <w:r>
        <w:drawing>
          <wp:inline xmlns:a="http://schemas.openxmlformats.org/drawingml/2006/main" xmlns:pic="http://schemas.openxmlformats.org/drawingml/2006/picture">
            <wp:extent cx="5212080" cy="2445173"/>
            <wp:docPr id="1" name="Picture 1"/>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212080" cy="2445173"/>
                    </a:xfrm>
                    <a:prstGeom prst="rect"/>
                  </pic:spPr>
                </pic:pic>
              </a:graphicData>
            </a:graphic>
          </wp:inline>
        </w:drawing>
      </w:r>
    </w:p>
    <w:p>
      <w:pPr>
        <w:pStyle w:val="Figure"/>
      </w:pPr>
      <w:r>
        <w:t xml:space="preserve">Anneal pipeline. Baseline (B) and adapted models (A) share one quantised base.</w:t>
      </w:r>
    </w:p>
    <w:p>
      <w:pPr>
        <w:pStyle w:val="Heading2"/>
      </w:pPr>
      <w:r>
        <w:t xml:space="preserve">Memory: Estimate, Then Measure</w:t>
      </w:r>
    </w:p>
    <w:p>
      <w:pPr>
        <w:pStyle w:val="BodyFirst"/>
      </w:pPr>
      <w:r>
        <w:rPr>
          <w:rFonts w:ascii="Consolas" w:hAnsi="Consolas" w:cs="Consolas"/>
          <w:sz w:val="19"/>
        </w:rPr>
        <w:t xml:space="preserve">memory_estimate.py</w:t>
      </w:r>
      <w:r>
        <w:t xml:space="preserve"> estimates training memory from the model's shape; </w:t>
      </w:r>
      <w:r>
        <w:rPr>
          <w:rFonts w:ascii="Consolas" w:hAnsi="Consolas" w:cs="Consolas"/>
          <w:sz w:val="19"/>
        </w:rPr>
        <w:t xml:space="preserve">measure_memory.py</w:t>
      </w:r>
      <w:r>
        <w:t xml:space="preserve"> measures real steps. Unsloth </w:t>
      </w:r>
      <w:fldSimple w:instr=" REF _RefAnneal11 \r \h ">
        <w:r>
          <w:t xml:space="preserve">[11]</w:t>
        </w:r>
      </w:fldSimple>
      <w:r>
        <w:t xml:space="preserve"> changes two large terms (Table 2): Qwen3.8's 248,320-token vocabulary makes the standard loss expensive, and Cut Cross-Entropy, which cut Gemma 2's classifier-head training memory from 28 GB to 1 GB </w:t>
      </w:r>
      <w:fldSimple w:instr=" REF _RefAnneal26 \r \h ">
        <w:r>
          <w:t xml:space="preserve">[26]</w:t>
        </w:r>
      </w:fldSimple>
      <w:r>
        <w:t xml:space="preserve">, is estimated to shrink this model's loss from 12.6 GiB to 0.5 GiB.</w:t>
      </w:r>
    </w:p>
    <w:p>
      <w:pPr>
        <w:pStyle w:val="BodyText"/>
      </w:pPr>
      <w:r>
        <w:t xml:space="preserve">Table 2 decided the precision: neither base would fit without Unsloth's optimisations, and with them an 8-bit base would barely fit while a 4-bit base leaves room for longer rows. Ablation A5 measures the 4-bit cost. The loop uses the longest rows that fit with a margin (peak within 29 GiB, 6 GB of system memory free): 16,384 tokens crashed, so the cap is 12,288.</w:t>
      </w:r>
    </w:p>
    <w:p>
      <w:pPr>
        <w:pStyle w:val="BodyCentre"/>
        <w:keepNext/>
        <w:spacing w:before="120" w:after="60"/>
      </w:pPr>
      <w:r>
        <w:rPr>
          <w:b/>
          <w:sz w:val="20"/>
        </w:rPr>
        <w:t xml:space="preserve">Table 2.</w:t>
      </w:r>
      <w:r>
        <w:rPr>
          <w:sz w:val="20"/>
        </w:rPr>
        <w:t xml:space="preserve"> GPU memory per step at rank 16: estimated at 4,096 tokens, measured at 8,192 and 12,288 (GiB).</w:t>
      </w:r>
    </w:p>
    <w:tbl>
      <w:tblPr>
        <w:tblStyle w:val="GridTable4-Accent31"/>
        <w:tblW w:w="8296" w:type="dxa"/>
        <w:tblLayout w:type="fixed"/>
        <w:tblLook w:val="04A0" w:firstRow="1" w:lastRow="0" w:firstColumn="1" w:lastColumn="0" w:noHBand="0" w:noVBand="1"/>
      </w:tblPr>
      <w:tblGrid>
        <w:gridCol w:w="4296"/>
        <w:gridCol w:w="2000"/>
        <w:gridCol w:w="2000"/>
      </w:tblGrid>
      <w:tr>
        <w:trPr>
          <w:cantSplit/>
          <w:tblHeader/>
        </w:trPr>
        <w:tc>
          <w:tcPr>
            <w:tcW w:w="4296" w:type="dxa"/>
          </w:tcPr>
          <w:p>
            <w:pPr>
              <w:pStyle w:val="BodyText"/>
              <w:spacing w:before="20" w:after="20"/>
              <w:jc w:val="left"/>
            </w:pPr>
            <w:r>
              <w:rPr>
                <w:sz w:val="20"/>
              </w:rPr>
              <w:t xml:space="preserve">Component</w:t>
            </w:r>
          </w:p>
        </w:tc>
        <w:tc>
          <w:tcPr>
            <w:tcW w:w="2000" w:type="dxa"/>
          </w:tcPr>
          <w:p>
            <w:pPr>
              <w:pStyle w:val="BodyText"/>
              <w:spacing w:before="20" w:after="20"/>
              <w:jc w:val="left"/>
            </w:pPr>
            <w:r>
              <w:rPr>
                <w:sz w:val="20"/>
              </w:rPr>
              <w:t xml:space="preserve">4-bit (chosen)</w:t>
            </w:r>
          </w:p>
        </w:tc>
        <w:tc>
          <w:tcPr>
            <w:tcW w:w="2000" w:type="dxa"/>
          </w:tcPr>
          <w:p>
            <w:pPr>
              <w:pStyle w:val="BodyText"/>
              <w:spacing w:before="20" w:after="20"/>
              <w:jc w:val="left"/>
            </w:pPr>
            <w:r>
              <w:rPr>
                <w:sz w:val="20"/>
              </w:rPr>
              <w:t xml:space="preserve">8-bit (A5)</w:t>
            </w:r>
          </w:p>
        </w:tc>
      </w:tr>
      <w:tr>
        <w:trPr>
          <w:cantSplit/>
        </w:trPr>
        <w:tc>
          <w:tcPr>
            <w:tcW w:w="4296" w:type="dxa"/>
          </w:tcPr>
          <w:p>
            <w:pPr>
              <w:pStyle w:val="BodyText"/>
              <w:spacing w:before="20" w:after="20"/>
              <w:jc w:val="left"/>
            </w:pPr>
            <w:r>
              <w:rPr>
                <w:sz w:val="20"/>
              </w:rPr>
              <w:t xml:space="preserve">Frozen linear layers</w:t>
            </w:r>
          </w:p>
        </w:tc>
        <w:tc>
          <w:tcPr>
            <w:tcW w:w="2000" w:type="dxa"/>
          </w:tcPr>
          <w:p>
            <w:pPr>
              <w:pStyle w:val="BodyText"/>
              <w:spacing w:before="20" w:after="20"/>
              <w:jc w:val="left"/>
            </w:pPr>
            <w:r>
              <w:rPr>
                <w:sz w:val="20"/>
              </w:rPr>
              <w:t xml:space="preserve">11.7</w:t>
            </w:r>
          </w:p>
        </w:tc>
        <w:tc>
          <w:tcPr>
            <w:tcW w:w="2000" w:type="dxa"/>
          </w:tcPr>
          <w:p>
            <w:pPr>
              <w:pStyle w:val="BodyText"/>
              <w:spacing w:before="20" w:after="20"/>
              <w:jc w:val="left"/>
            </w:pPr>
            <w:r>
              <w:rPr>
                <w:sz w:val="20"/>
              </w:rPr>
              <w:t xml:space="preserve">22.7</w:t>
            </w:r>
          </w:p>
        </w:tc>
      </w:tr>
      <w:tr>
        <w:trPr>
          <w:cantSplit/>
        </w:trPr>
        <w:tc>
          <w:tcPr>
            <w:tcW w:w="4296" w:type="dxa"/>
          </w:tcPr>
          <w:p>
            <w:pPr>
              <w:pStyle w:val="BodyText"/>
              <w:spacing w:before="20" w:after="20"/>
              <w:jc w:val="left"/>
            </w:pPr>
            <w:r>
              <w:rPr>
                <w:sz w:val="20"/>
              </w:rPr>
              <w:t xml:space="preserve">Embeddings and output layer</w:t>
            </w:r>
          </w:p>
        </w:tc>
        <w:tc>
          <w:tcPr>
            <w:tcW w:w="2000" w:type="dxa"/>
          </w:tcPr>
          <w:p>
            <w:pPr>
              <w:pStyle w:val="BodyText"/>
              <w:spacing w:before="20" w:after="20"/>
              <w:jc w:val="left"/>
            </w:pPr>
            <w:r>
              <w:rPr>
                <w:sz w:val="20"/>
              </w:rPr>
              <w:t xml:space="preserve">4.7</w:t>
            </w:r>
          </w:p>
        </w:tc>
        <w:tc>
          <w:tcPr>
            <w:tcW w:w="2000" w:type="dxa"/>
          </w:tcPr>
          <w:p>
            <w:pPr>
              <w:pStyle w:val="BodyText"/>
              <w:spacing w:before="20" w:after="20"/>
              <w:jc w:val="left"/>
            </w:pPr>
            <w:r>
              <w:rPr>
                <w:sz w:val="20"/>
              </w:rPr>
              <w:t xml:space="preserve">4.7</w:t>
            </w:r>
          </w:p>
        </w:tc>
      </w:tr>
      <w:tr>
        <w:trPr>
          <w:cantSplit/>
        </w:trPr>
        <w:tc>
          <w:tcPr>
            <w:tcW w:w="4296" w:type="dxa"/>
          </w:tcPr>
          <w:p>
            <w:pPr>
              <w:pStyle w:val="BodyText"/>
              <w:spacing w:before="20" w:after="20"/>
              <w:jc w:val="left"/>
            </w:pPr>
            <w:r>
              <w:rPr>
                <w:sz w:val="20"/>
              </w:rPr>
              <w:t xml:space="preserve">LoRA, gradients, optimiser</w:t>
            </w:r>
          </w:p>
        </w:tc>
        <w:tc>
          <w:tcPr>
            <w:tcW w:w="2000" w:type="dxa"/>
          </w:tcPr>
          <w:p>
            <w:pPr>
              <w:pStyle w:val="BodyText"/>
              <w:spacing w:before="20" w:after="20"/>
              <w:jc w:val="left"/>
            </w:pPr>
            <w:r>
              <w:rPr>
                <w:sz w:val="20"/>
              </w:rPr>
              <w:t xml:space="preserve">0.7</w:t>
            </w:r>
          </w:p>
        </w:tc>
        <w:tc>
          <w:tcPr>
            <w:tcW w:w="2000" w:type="dxa"/>
          </w:tcPr>
          <w:p>
            <w:pPr>
              <w:pStyle w:val="BodyText"/>
              <w:spacing w:before="20" w:after="20"/>
              <w:jc w:val="left"/>
            </w:pPr>
            <w:r>
              <w:rPr>
                <w:sz w:val="20"/>
              </w:rPr>
              <w:t xml:space="preserve">0.7</w:t>
            </w:r>
          </w:p>
        </w:tc>
      </w:tr>
      <w:tr>
        <w:trPr>
          <w:cantSplit/>
        </w:trPr>
        <w:tc>
          <w:tcPr>
            <w:tcW w:w="4296" w:type="dxa"/>
          </w:tcPr>
          <w:p>
            <w:pPr>
              <w:pStyle w:val="BodyText"/>
              <w:spacing w:before="20" w:after="20"/>
              <w:jc w:val="left"/>
            </w:pPr>
            <w:r>
              <w:rPr>
                <w:sz w:val="20"/>
              </w:rPr>
              <w:t xml:space="preserve">Checkpoints (in host memory)</w:t>
            </w:r>
          </w:p>
        </w:tc>
        <w:tc>
          <w:tcPr>
            <w:tcW w:w="2000" w:type="dxa"/>
          </w:tcPr>
          <w:p>
            <w:pPr>
              <w:pStyle w:val="BodyText"/>
              <w:spacing w:before="20" w:after="20"/>
              <w:jc w:val="left"/>
            </w:pPr>
            <w:r>
              <w:rPr>
                <w:sz w:val="20"/>
              </w:rPr>
              <w:t xml:space="preserve">0 (2.5)</w:t>
            </w:r>
          </w:p>
        </w:tc>
        <w:tc>
          <w:tcPr>
            <w:tcW w:w="2000" w:type="dxa"/>
          </w:tcPr>
          <w:p>
            <w:pPr>
              <w:pStyle w:val="BodyText"/>
              <w:spacing w:before="20" w:after="20"/>
              <w:jc w:val="left"/>
            </w:pPr>
            <w:r>
              <w:rPr>
                <w:sz w:val="20"/>
              </w:rPr>
              <w:t xml:space="preserve">0 (2.5)</w:t>
            </w:r>
          </w:p>
        </w:tc>
      </w:tr>
      <w:tr>
        <w:trPr>
          <w:cantSplit/>
        </w:trPr>
        <w:tc>
          <w:tcPr>
            <w:tcW w:w="4296" w:type="dxa"/>
          </w:tcPr>
          <w:p>
            <w:pPr>
              <w:pStyle w:val="BodyText"/>
              <w:spacing w:before="20" w:after="20"/>
              <w:jc w:val="left"/>
            </w:pPr>
            <w:r>
              <w:rPr>
                <w:sz w:val="20"/>
              </w:rPr>
              <w:t xml:space="preserve">Recomputed activations</w:t>
            </w:r>
          </w:p>
        </w:tc>
        <w:tc>
          <w:tcPr>
            <w:tcW w:w="2000" w:type="dxa"/>
          </w:tcPr>
          <w:p>
            <w:pPr>
              <w:pStyle w:val="BodyText"/>
              <w:spacing w:before="20" w:after="20"/>
              <w:jc w:val="left"/>
            </w:pPr>
            <w:r>
              <w:rPr>
                <w:sz w:val="20"/>
              </w:rPr>
              <w:t xml:space="preserve">1.0</w:t>
            </w:r>
          </w:p>
        </w:tc>
        <w:tc>
          <w:tcPr>
            <w:tcW w:w="2000" w:type="dxa"/>
          </w:tcPr>
          <w:p>
            <w:pPr>
              <w:pStyle w:val="BodyText"/>
              <w:spacing w:before="20" w:after="20"/>
              <w:jc w:val="left"/>
            </w:pPr>
            <w:r>
              <w:rPr>
                <w:sz w:val="20"/>
              </w:rPr>
              <w:t xml:space="preserve">1.0</w:t>
            </w:r>
          </w:p>
        </w:tc>
      </w:tr>
      <w:tr>
        <w:trPr>
          <w:cantSplit/>
        </w:trPr>
        <w:tc>
          <w:tcPr>
            <w:tcW w:w="4296" w:type="dxa"/>
          </w:tcPr>
          <w:p>
            <w:pPr>
              <w:pStyle w:val="BodyText"/>
              <w:spacing w:before="20" w:after="20"/>
              <w:jc w:val="left"/>
            </w:pPr>
            <w:r>
              <w:rPr>
                <w:sz w:val="20"/>
              </w:rPr>
              <w:t xml:space="preserve">Loss (fused)</w:t>
            </w:r>
          </w:p>
        </w:tc>
        <w:tc>
          <w:tcPr>
            <w:tcW w:w="2000" w:type="dxa"/>
          </w:tcPr>
          <w:p>
            <w:pPr>
              <w:pStyle w:val="BodyText"/>
              <w:spacing w:before="20" w:after="20"/>
              <w:jc w:val="left"/>
            </w:pPr>
            <w:r>
              <w:rPr>
                <w:sz w:val="20"/>
              </w:rPr>
              <w:t xml:space="preserve">0.5</w:t>
            </w:r>
          </w:p>
        </w:tc>
        <w:tc>
          <w:tcPr>
            <w:tcW w:w="2000" w:type="dxa"/>
          </w:tcPr>
          <w:p>
            <w:pPr>
              <w:pStyle w:val="BodyText"/>
              <w:spacing w:before="20" w:after="20"/>
              <w:jc w:val="left"/>
            </w:pPr>
            <w:r>
              <w:rPr>
                <w:sz w:val="20"/>
              </w:rPr>
              <w:t xml:space="preserve">0.5</w:t>
            </w:r>
          </w:p>
        </w:tc>
      </w:tr>
      <w:tr>
        <w:trPr>
          <w:cantSplit/>
        </w:trPr>
        <w:tc>
          <w:tcPr>
            <w:tcW w:w="4296" w:type="dxa"/>
          </w:tcPr>
          <w:p>
            <w:pPr>
              <w:pStyle w:val="BodyText"/>
              <w:spacing w:before="20" w:after="20"/>
              <w:jc w:val="left"/>
            </w:pPr>
            <w:r>
              <w:rPr>
                <w:sz w:val="20"/>
              </w:rPr>
              <w:t xml:space="preserve">Runtime allowance</w:t>
            </w:r>
          </w:p>
        </w:tc>
        <w:tc>
          <w:tcPr>
            <w:tcW w:w="2000" w:type="dxa"/>
          </w:tcPr>
          <w:p>
            <w:pPr>
              <w:pStyle w:val="BodyText"/>
              <w:spacing w:before="20" w:after="20"/>
              <w:jc w:val="left"/>
            </w:pPr>
            <w:r>
              <w:rPr>
                <w:sz w:val="20"/>
              </w:rPr>
              <w:t xml:space="preserve">2.0</w:t>
            </w:r>
          </w:p>
        </w:tc>
        <w:tc>
          <w:tcPr>
            <w:tcW w:w="2000" w:type="dxa"/>
          </w:tcPr>
          <w:p>
            <w:pPr>
              <w:pStyle w:val="BodyText"/>
              <w:spacing w:before="20" w:after="20"/>
              <w:jc w:val="left"/>
            </w:pPr>
            <w:r>
              <w:rPr>
                <w:sz w:val="20"/>
              </w:rPr>
              <w:t xml:space="preserve">2.0</w:t>
            </w:r>
          </w:p>
        </w:tc>
      </w:tr>
      <w:tr>
        <w:trPr>
          <w:cantSplit/>
        </w:trPr>
        <w:tc>
          <w:tcPr>
            <w:tcW w:w="4296" w:type="dxa"/>
          </w:tcPr>
          <w:p>
            <w:pPr>
              <w:pStyle w:val="BodyText"/>
              <w:spacing w:before="20" w:after="20"/>
              <w:jc w:val="left"/>
            </w:pPr>
            <w:r>
              <w:rPr>
                <w:b/>
                <w:sz w:val="20"/>
              </w:rPr>
              <w:t xml:space="preserve">Total, Unsloth</w:t>
            </w:r>
          </w:p>
        </w:tc>
        <w:tc>
          <w:tcPr>
            <w:tcW w:w="2000" w:type="dxa"/>
          </w:tcPr>
          <w:p>
            <w:pPr>
              <w:pStyle w:val="BodyText"/>
              <w:spacing w:before="20" w:after="20"/>
              <w:jc w:val="left"/>
            </w:pPr>
            <w:r>
              <w:rPr>
                <w:b/>
                <w:sz w:val="20"/>
              </w:rPr>
              <w:t xml:space="preserve">about 21</w:t>
            </w:r>
          </w:p>
        </w:tc>
        <w:tc>
          <w:tcPr>
            <w:tcW w:w="2000" w:type="dxa"/>
          </w:tcPr>
          <w:p>
            <w:pPr>
              <w:pStyle w:val="BodyText"/>
              <w:spacing w:before="20" w:after="20"/>
              <w:jc w:val="left"/>
            </w:pPr>
            <w:r>
              <w:rPr>
                <w:b/>
                <w:sz w:val="20"/>
              </w:rPr>
              <w:t xml:space="preserve">about 32</w:t>
            </w:r>
          </w:p>
        </w:tc>
      </w:tr>
      <w:tr>
        <w:trPr>
          <w:cantSplit/>
        </w:trPr>
        <w:tc>
          <w:tcPr>
            <w:tcW w:w="4296" w:type="dxa"/>
          </w:tcPr>
          <w:p>
            <w:pPr>
              <w:pStyle w:val="BodyText"/>
              <w:spacing w:before="20" w:after="20"/>
              <w:jc w:val="left"/>
            </w:pPr>
            <w:r>
              <w:rPr>
                <w:sz w:val="20"/>
              </w:rPr>
              <w:t xml:space="preserve">Total, plain PEFT</w:t>
            </w:r>
          </w:p>
        </w:tc>
        <w:tc>
          <w:tcPr>
            <w:tcW w:w="2000" w:type="dxa"/>
          </w:tcPr>
          <w:p>
            <w:pPr>
              <w:pStyle w:val="BodyText"/>
              <w:spacing w:before="20" w:after="20"/>
              <w:jc w:val="left"/>
            </w:pPr>
            <w:r>
              <w:rPr>
                <w:sz w:val="20"/>
              </w:rPr>
              <w:t xml:space="preserve">40 to 46</w:t>
            </w:r>
          </w:p>
        </w:tc>
        <w:tc>
          <w:tcPr>
            <w:tcW w:w="2000" w:type="dxa"/>
          </w:tcPr>
          <w:p>
            <w:pPr>
              <w:pStyle w:val="BodyText"/>
              <w:spacing w:before="20" w:after="20"/>
              <w:jc w:val="left"/>
            </w:pPr>
            <w:r>
              <w:rPr>
                <w:sz w:val="20"/>
              </w:rPr>
              <w:t xml:space="preserve">51 to 57</w:t>
            </w:r>
          </w:p>
        </w:tc>
      </w:tr>
      <w:tr>
        <w:trPr>
          <w:cantSplit/>
        </w:trPr>
        <w:tc>
          <w:tcPr>
            <w:tcW w:w="4296" w:type="dxa"/>
          </w:tcPr>
          <w:p>
            <w:pPr>
              <w:pStyle w:val="BodyText"/>
              <w:spacing w:before="20" w:after="20"/>
              <w:jc w:val="left"/>
            </w:pPr>
            <w:r>
              <w:rPr>
                <w:sz w:val="20"/>
              </w:rPr>
              <w:t xml:space="preserve">Measured peak at 8,192 tokens</w:t>
            </w:r>
          </w:p>
        </w:tc>
        <w:tc>
          <w:tcPr>
            <w:tcW w:w="2000" w:type="dxa"/>
          </w:tcPr>
          <w:p>
            <w:pPr>
              <w:pStyle w:val="BodyText"/>
              <w:spacing w:before="20" w:after="20"/>
              <w:jc w:val="left"/>
            </w:pPr>
            <w:r>
              <w:rPr>
                <w:sz w:val="20"/>
              </w:rPr>
              <w:t xml:space="preserve">25.2</w:t>
            </w:r>
          </w:p>
        </w:tc>
        <w:tc>
          <w:tcPr>
            <w:tcW w:w="2000" w:type="dxa"/>
          </w:tcPr>
          <w:p>
            <w:pPr>
              <w:pStyle w:val="BodyText"/>
              <w:spacing w:before="20" w:after="20"/>
              <w:jc w:val="left"/>
            </w:pPr>
            <w:r>
              <w:rPr>
                <w:sz w:val="20"/>
              </w:rPr>
              <w:t xml:space="preserve">not run</w:t>
            </w:r>
          </w:p>
        </w:tc>
      </w:tr>
      <w:tr>
        <w:trPr>
          <w:cantSplit/>
        </w:trPr>
        <w:tc>
          <w:tcPr>
            <w:tcW w:w="4296" w:type="dxa"/>
          </w:tcPr>
          <w:p>
            <w:pPr>
              <w:pStyle w:val="BodyText"/>
              <w:spacing w:before="20" w:after="20"/>
              <w:jc w:val="left"/>
            </w:pPr>
            <w:r>
              <w:rPr>
                <w:sz w:val="20"/>
              </w:rPr>
              <w:t xml:space="preserve">Measured peak at 12,288 tokens</w:t>
            </w:r>
          </w:p>
        </w:tc>
        <w:tc>
          <w:tcPr>
            <w:tcW w:w="2000" w:type="dxa"/>
          </w:tcPr>
          <w:p>
            <w:pPr>
              <w:pStyle w:val="BodyText"/>
              <w:spacing w:before="20" w:after="20"/>
              <w:jc w:val="left"/>
            </w:pPr>
            <w:r>
              <w:rPr>
                <w:sz w:val="20"/>
              </w:rPr>
              <w:t xml:space="preserve">27.2</w:t>
            </w:r>
          </w:p>
        </w:tc>
        <w:tc>
          <w:tcPr>
            <w:tcW w:w="2000" w:type="dxa"/>
          </w:tcPr>
          <w:p>
            <w:pPr>
              <w:pStyle w:val="BodyText"/>
              <w:spacing w:before="20" w:after="20"/>
              <w:jc w:val="left"/>
            </w:pPr>
            <w:r>
              <w:rPr>
                <w:sz w:val="20"/>
              </w:rPr>
              <w:t xml:space="preserve">not run</w:t>
            </w:r>
          </w:p>
        </w:tc>
      </w:tr>
    </w:tbl>
    <w:p>
      <w:pPr>
        <w:pStyle w:val="BodyText"/>
        <w:spacing w:after="0"/>
      </w:pPr>
    </w:p>
    <w:p>
      <w:pPr>
        <w:pStyle w:val="Heading2"/>
      </w:pPr>
      <w:r>
        <w:t xml:space="preserve">Data Pipeline</w:t>
      </w:r>
    </w:p>
    <w:p>
      <w:pPr>
        <w:pStyle w:val="BodyFirst"/>
      </w:pPr>
      <w:r>
        <w:t xml:space="preserve">From round 1, the loop trains only on public datasets, never on the base model's own rows, which could reinforce its biases. Every row must carry its teacher's real reasoning, and the teacher must match or beat Qwen3.8-27B on the same-harness Vals AI board for that task. Each round takes 35% from test-passed bug-fix runs in TypeScript, Go, JavaScript and other non-Python repositories by DeepSeek V4-Flash-0731 </w:t>
      </w:r>
      <w:fldSimple w:instr=" REF _RefAnneal20 \r \h ">
        <w:r>
          <w:t xml:space="preserve">[20]</w:t>
        </w:r>
      </w:fldSimple>
      <w:r>
        <w:t xml:space="preserve">, which beats the base on LiveCodeBench, SWE-bench Verified and Terminal-Bench (87.3, 88.8 and 67.0 against 84.0, 86.0 and 58.4 </w:t>
      </w:r>
      <w:fldSimple w:instr=" REF _RefAnneal27 \r \h ">
        <w:r>
          <w:t xml:space="preserve">[27]</w:t>
        </w:r>
      </w:fldSimple>
      <w:r>
        <w:t xml:space="preserve">, </w:t>
      </w:r>
      <w:fldSimple w:instr=" REF _RefAnneal28 \r \h ">
        <w:r>
          <w:t xml:space="preserve">[28]</w:t>
        </w:r>
      </w:fldSimple>
      <w:r>
        <w:t xml:space="preserve">, </w:t>
      </w:r>
      <w:fldSimple w:instr=" REF _RefAnneal29 \r \h ">
        <w:r>
          <w:t xml:space="preserve">[29]</w:t>
        </w:r>
      </w:fldSimple>
      <w:r>
        <w:t xml:space="preserve">); 40% from every test-passed Linux terminal run by GLM-5.3 </w:t>
      </w:r>
      <w:fldSimple w:instr=" REF _RefAnneal21 \r \h ">
        <w:r>
          <w:t xml:space="preserve">[21]</w:t>
        </w:r>
      </w:fldSimple>
      <w:r>
        <w:t xml:space="preserve"> (Terminal-Bench 71.5; 24,689 rows without Python), since more distinct correct paths helped in maths fine-tuning </w:t>
      </w:r>
      <w:fldSimple w:instr=" REF _RefAnneal30 \r \h ">
        <w:r>
          <w:t xml:space="preserve">[30]</w:t>
        </w:r>
      </w:fldSimple>
      <w:r>
        <w:t xml:space="preserve">; and 25% from DeepSeek-V4-Pro coding answers </w:t>
      </w:r>
      <w:fldSimple w:instr=" REF _RefAnneal22 \r \h ">
        <w:r>
          <w:t xml:space="preserve">[22]</w:t>
        </w:r>
      </w:fldSimple>
      <w:r>
        <w:t xml:space="preserve">, </w:t>
      </w:r>
      <w:fldSimple w:instr=" REF _RefAnneal23 \r \h ">
        <w:r>
          <w:t xml:space="preserve">[23]</w:t>
        </w:r>
      </w:fldSimple>
      <w:r>
        <w:t xml:space="preserve">, a teacher ahead only on LiveCodeBench (87.5). Rows using Python, and maths </w:t>
      </w:r>
      <w:fldSimple w:instr=" REF _RefAnneal31 \r \h ">
        <w:r>
          <w:t xml:space="preserve">[31]</w:t>
        </w:r>
      </w:fldSimple>
      <w:r>
        <w:t xml:space="preserve">, wait until these run out. </w:t>
      </w:r>
      <w:r>
        <w:rPr>
          <w:rFonts w:ascii="Consolas" w:hAnsi="Consolas" w:cs="Consolas"/>
          <w:sz w:val="19"/>
        </w:rPr>
        <w:t xml:space="preserve">prepare_dataset.py</w:t>
      </w:r>
      <w:r>
        <w:t xml:space="preserve"> keeps rows with a </w:t>
      </w:r>
      <w:r>
        <w:rPr>
          <w:rFonts w:ascii="Consolas" w:hAnsi="Consolas" w:cs="Consolas"/>
          <w:sz w:val="19"/>
        </w:rPr>
        <w:t xml:space="preserve">&lt;think&gt;</w:t>
      </w:r>
      <w:r>
        <w:t xml:space="preserve"> trace, drops over-length rows and removes near-duplicates of evaluation prompts. An embedding search on the otherwise idle NPU also flags reworded copies, which n-gram checks can miss </w:t>
      </w:r>
      <w:fldSimple w:instr=" REF _RefAnneal32 \r \h ">
        <w:r>
          <w:t xml:space="preserve">[32]</w:t>
        </w:r>
      </w:fldSimple>
      <w:r>
        <w:t xml:space="preserve">; in the first pools it flagged 33 of 15,276 rows without measurably slowing training.</w:t>
      </w:r>
    </w:p>
    <w:p>
      <w:pPr>
        <w:pStyle w:val="BodyText"/>
      </w:pPr>
      <w:r>
        <w:t xml:space="preserve">The first run, round 0, is a comparison run: 500 base-model answers to OpenCodeInstruct </w:t>
      </w:r>
      <w:fldSimple w:instr=" REF _RefAnneal33 \r \h ">
        <w:r>
          <w:t xml:space="preserve">[33]</w:t>
        </w:r>
      </w:fldSimple>
      <w:r>
        <w:t xml:space="preserve"> prompts that passed their tests, as in ReST-EM </w:t>
      </w:r>
      <w:fldSimple w:instr=" REF _RefAnneal34 \r \h ">
        <w:r>
          <w:t xml:space="preserve">[34]</w:t>
        </w:r>
      </w:fldSimple>
      <w:r>
        <w:t xml:space="preserve">, plus 1,500 OpenCodeReasoning rows, whose DeepSeek-R1 teacher scores 63.5 on LiveCodeBench </w:t>
      </w:r>
      <w:fldSimple w:instr=" REF _RefAnneal35 \r \h ">
        <w:r>
          <w:t xml:space="preserve">[35]</w:t>
        </w:r>
      </w:fldSimple>
      <w:r>
        <w:t xml:space="preserve">, probably below the base, though not measured like-for-like. Traces hitting the 6,144-token budget were rejected, so kept traces are short (median 436 tokens). Model-written code runs in a Windows AppContainer sandbox without network, file or administrator access, which passed 264 escape checks.</w:t>
      </w:r>
    </w:p>
    <w:p>
      <w:pPr>
        <w:pStyle w:val="Heading2"/>
      </w:pPr>
      <w:r>
        <w:t xml:space="preserve">Training</w:t>
      </w:r>
    </w:p>
    <w:p>
      <w:pPr>
        <w:pStyle w:val="BodyFirst"/>
      </w:pPr>
      <w:r>
        <w:t xml:space="preserve">Training runs as an unattended keep-if-better loop. Round 1 starts from the base model, never the first-run adapter; each later round continues the best adapter on 1,000 new rows plus 25% replayed from earlier rows, re-warming and decaying the learning rate, which in continual pre-training matched retraining on all data </w:t>
      </w:r>
      <w:fldSimple w:instr=" REF _RefAnneal36 \r \h ">
        <w:r>
          <w:t xml:space="preserve">[36]</w:t>
        </w:r>
      </w:fldSimple>
      <w:r>
        <w:t xml:space="preserve">. Each round is scored on a held-out six-language gate of 495 decontaminated CodeContests </w:t>
      </w:r>
      <w:fldSimple w:instr=" REF _RefAnneal37 \r \h ">
        <w:r>
          <w:t xml:space="preserve">[37]</w:t>
        </w:r>
      </w:fldSimple>
      <w:r>
        <w:t xml:space="preserve"> items, never trained on: write a program in C++, Java, Go, Rust, JavaScript or TypeScript (286), or fix a wrong C++ or Java submission (209), each run on up to 30 tests. A round is kept if a one-sided exact sign test against the best adapter gives p ≤ 0.05, or if its score is no lower and its loss on 177 held-out bug-fix steps or 200 held-out terminal steps falls on significantly more steps than it rises (Holm-adjusted), since contest items cannot see what those rows teach. These losses measure closeness to reference answers, not solved tasks. Either way, neither part nor 100 MMLU-Pro </w:t>
      </w:r>
      <w:fldSimple w:instr=" REF _RefAnneal38 \r \h ">
        <w:r>
          <w:t xml:space="preserve">[38]</w:t>
        </w:r>
      </w:fldSimple>
      <w:r>
        <w:t xml:space="preserve"> questions outside computing may drop by over 5 points or significantly; a passing round also may not drop on EvalPlus by over 3 points, or on 150 Java and JavaScript BFCL tool calls </w:t>
      </w:r>
      <w:fldSimple w:instr=" REF _RefAnneal39 \r \h ">
        <w:r>
          <w:t xml:space="preserve">[39]</w:t>
        </w:r>
      </w:fldSimple>
      <w:r>
        <w:t xml:space="preserve"> by over 6, or significantly. A fresh-seed re-score then becomes the new reference. Unless a loss is clearly lower, a round stops, rejected, after a random third, or two-thirds, of the items if not ahead of the best (in simulation, 40% less test time for non-improving rounds and 5 to 7% fewer real keeps). A rejected round's rows roll into the next attempt, up to 3,000 new rows, because a real 2-point gain passes the gate only an estimated 24 to 44% of the time.</w:t>
      </w:r>
    </w:p>
    <w:p>
      <w:pPr>
        <w:pStyle w:val="BodyText"/>
      </w:pPr>
      <w:r>
        <w:rPr>
          <w:rFonts w:ascii="Consolas" w:hAnsi="Consolas" w:cs="Consolas"/>
          <w:sz w:val="19"/>
        </w:rPr>
        <w:t xml:space="preserve">train_longrun.py</w:t>
      </w:r>
      <w:r>
        <w:t xml:space="preserve"> uses a warmup-stable-decay schedule </w:t>
      </w:r>
      <w:fldSimple w:instr=" REF _RefAnneal40 \r \h ">
        <w:r>
          <w:t xml:space="preserve">[40]</w:t>
        </w:r>
      </w:fldSimple>
      <w:r>
        <w:t xml:space="preserve"> (20 warm-up steps, decay over the last 20%). To survive crashes and updates over months, it saves every 10 steps, resumes when the same command is re-run, and refuses to resume if the training file has changed. In a CPU test with a tiny model of the same architecture, a run killed with </w:t>
      </w:r>
      <w:r>
        <w:rPr>
          <w:rFonts w:ascii="Consolas" w:hAnsi="Consolas" w:cs="Consolas"/>
          <w:sz w:val="19"/>
        </w:rPr>
        <w:t xml:space="preserve">kill -9</w:t>
      </w:r>
      <w:r>
        <w:t xml:space="preserve"> resumed to bit-identical losses and weights.</w:t>
      </w:r>
    </w:p>
    <w:p>
      <w:pPr>
        <w:pStyle w:val="BodyText"/>
      </w:pPr>
      <w:r>
        <w:t xml:space="preserve">Small test fixtures caught four silent bugs, all fixed, including a unit-test filter that passed every answer and targets that missed the 48 DeltaNet layers' projections.</w:t>
      </w:r>
    </w:p>
    <w:p>
      <w:pPr>
        <w:pStyle w:val="Heading2"/>
      </w:pPr>
      <w:r>
        <w:t xml:space="preserve">Bring-up and First Run</w:t>
      </w:r>
    </w:p>
    <w:p>
      <w:pPr>
        <w:pStyle w:val="BodyFirst"/>
      </w:pPr>
      <w:r>
        <w:t xml:space="preserve">Bring-up and the first run raised the issues in Table 3. The run trained on 7.40 million tokens at about 100 tokens per second, and held-out loss fell from 0.593 to 0.498. Over all 542 EvalPlus problems with extra tests the base scored 86.2% and the adapter 85.4% (−0.7 points, 95% CI −2.6 to +1.1, p = 0.57); HumanEval+ rose 1.8 points and MBPP+ fell 1.9, neither significant, and leaving out five unreliable or overlapping problems does not change this. So there was no significant regression, and no measurable gain this near the ceiling (base 97% on HumanEval); a probably weaker teacher may also have contributed. EvalPlus is therefore now only a regression check.</w:t>
      </w:r>
    </w:p>
    <w:p>
      <w:pPr>
        <w:pStyle w:val="BodyCentre"/>
        <w:keepNext/>
        <w:spacing w:before="120" w:after="60"/>
      </w:pPr>
      <w:r>
        <w:rPr>
          <w:b/>
          <w:sz w:val="20"/>
        </w:rPr>
        <w:t xml:space="preserve">Table 3.</w:t>
      </w:r>
      <w:r>
        <w:rPr>
          <w:sz w:val="20"/>
        </w:rPr>
        <w:t xml:space="preserve"> Issues found during bring-up and the first run.</w:t>
      </w:r>
    </w:p>
    <w:tbl>
      <w:tblPr>
        <w:tblStyle w:val="GridTable4-Accent31"/>
        <w:tblW w:w="8296" w:type="dxa"/>
        <w:tblLayout w:type="fixed"/>
        <w:tblLook w:val="04A0" w:firstRow="1" w:lastRow="0" w:firstColumn="1" w:lastColumn="0" w:noHBand="0" w:noVBand="1"/>
      </w:tblPr>
      <w:tblGrid>
        <w:gridCol w:w="2200"/>
        <w:gridCol w:w="2900"/>
        <w:gridCol w:w="3196"/>
      </w:tblGrid>
      <w:tr>
        <w:trPr>
          <w:cantSplit/>
          <w:tblHeader/>
        </w:trPr>
        <w:tc>
          <w:tcPr>
            <w:tcW w:w="2200" w:type="dxa"/>
          </w:tcPr>
          <w:p>
            <w:pPr>
              <w:pStyle w:val="BodyText"/>
              <w:keepNext/>
              <w:spacing w:before="20" w:after="20"/>
              <w:jc w:val="left"/>
            </w:pPr>
            <w:r>
              <w:rPr>
                <w:sz w:val="20"/>
              </w:rPr>
              <w:t xml:space="preserve">Issue</w:t>
            </w:r>
          </w:p>
        </w:tc>
        <w:tc>
          <w:tcPr>
            <w:tcW w:w="2900" w:type="dxa"/>
          </w:tcPr>
          <w:p>
            <w:pPr>
              <w:pStyle w:val="BodyText"/>
              <w:keepNext/>
              <w:spacing w:before="20" w:after="20"/>
              <w:jc w:val="left"/>
            </w:pPr>
            <w:r>
              <w:rPr>
                <w:sz w:val="20"/>
              </w:rPr>
              <w:t xml:space="preserve">Cause</w:t>
            </w:r>
          </w:p>
        </w:tc>
        <w:tc>
          <w:tcPr>
            <w:tcW w:w="3196" w:type="dxa"/>
          </w:tcPr>
          <w:p>
            <w:pPr>
              <w:pStyle w:val="BodyText"/>
              <w:keepNext/>
              <w:spacing w:before="20" w:after="20"/>
              <w:jc w:val="left"/>
            </w:pPr>
            <w:r>
              <w:rPr>
                <w:sz w:val="20"/>
              </w:rPr>
              <w:t xml:space="preserve">Resolution</w:t>
            </w:r>
          </w:p>
        </w:tc>
      </w:tr>
      <w:tr>
        <w:trPr>
          <w:cantSplit/>
        </w:trPr>
        <w:tc>
          <w:tcPr>
            <w:tcW w:w="2200" w:type="dxa"/>
          </w:tcPr>
          <w:p>
            <w:pPr>
              <w:pStyle w:val="BodyText"/>
              <w:keepNext/>
              <w:spacing w:before="20" w:after="20"/>
              <w:jc w:val="left"/>
            </w:pPr>
            <w:r>
              <w:rPr>
                <w:sz w:val="20"/>
              </w:rPr>
              <w:t xml:space="preserve">Base model looked broken in training (perplexity 56 to 2,100)</w:t>
            </w:r>
          </w:p>
        </w:tc>
        <w:tc>
          <w:tcPr>
            <w:tcW w:w="2900" w:type="dxa"/>
          </w:tcPr>
          <w:p>
            <w:pPr>
              <w:pStyle w:val="BodyText"/>
              <w:keepNext/>
              <w:spacing w:before="20" w:after="20"/>
              <w:jc w:val="left"/>
            </w:pPr>
            <w:r>
              <w:rPr>
                <w:sz w:val="20"/>
              </w:rPr>
              <w:t xml:space="preserve">The loss scored the template's system prompt; a weight-order patch written to fix it was wrong</w:t>
            </w:r>
          </w:p>
        </w:tc>
        <w:tc>
          <w:tcPr>
            <w:tcW w:w="3196" w:type="dxa"/>
          </w:tcPr>
          <w:p>
            <w:pPr>
              <w:pStyle w:val="BodyText"/>
              <w:keepNext/>
              <w:spacing w:before="20" w:after="20"/>
              <w:jc w:val="left"/>
            </w:pPr>
            <w:r>
              <w:rPr>
                <w:sz w:val="20"/>
              </w:rPr>
              <w:t xml:space="preserve">Parity test on identical tokens: unpatched transformers matched llama.cpp (loss 0.515 vs 0.519, 95% top-1 agreement); patch removed, loss on answers only</w:t>
            </w:r>
          </w:p>
        </w:tc>
      </w:tr>
      <w:tr>
        <w:trPr>
          <w:cantSplit/>
        </w:trPr>
        <w:tc>
          <w:tcPr>
            <w:tcW w:w="2200" w:type="dxa"/>
          </w:tcPr>
          <w:p>
            <w:pPr>
              <w:pStyle w:val="BodyText"/>
              <w:keepNext/>
              <w:spacing w:before="20" w:after="20"/>
              <w:jc w:val="left"/>
            </w:pPr>
            <w:r>
              <w:rPr>
                <w:sz w:val="20"/>
              </w:rPr>
              <w:t xml:space="preserve">DeltaNet convolution slow</w:t>
            </w:r>
          </w:p>
        </w:tc>
        <w:tc>
          <w:tcPr>
            <w:tcW w:w="2900" w:type="dxa"/>
          </w:tcPr>
          <w:p>
            <w:pPr>
              <w:pStyle w:val="BodyText"/>
              <w:keepNext/>
              <w:spacing w:before="20" w:after="20"/>
              <w:jc w:val="left"/>
            </w:pPr>
            <w:r>
              <w:rPr>
                <w:sz w:val="20"/>
              </w:rPr>
              <w:t xml:space="preserve">The fast kernel needs an administrator build; PyTorch's fallback is slow here</w:t>
            </w:r>
          </w:p>
        </w:tc>
        <w:tc>
          <w:tcPr>
            <w:tcW w:w="3196" w:type="dxa"/>
          </w:tcPr>
          <w:p>
            <w:pPr>
              <w:pStyle w:val="BodyText"/>
              <w:keepNext/>
              <w:spacing w:before="20" w:after="20"/>
              <w:jc w:val="left"/>
            </w:pPr>
            <w:r>
              <w:rPr>
                <w:sz w:val="20"/>
              </w:rPr>
              <w:t xml:space="preserve">Shift-and-add rewrite, checked against a float64 reference: 61 to 97 tokens per second</w:t>
            </w:r>
          </w:p>
        </w:tc>
      </w:tr>
      <w:tr>
        <w:trPr>
          <w:cantSplit/>
        </w:trPr>
        <w:tc>
          <w:tcPr>
            <w:tcW w:w="2200" w:type="dxa"/>
          </w:tcPr>
          <w:p>
            <w:pPr>
              <w:pStyle w:val="BodyText"/>
              <w:keepNext/>
              <w:spacing w:before="20" w:after="20"/>
              <w:jc w:val="left"/>
            </w:pPr>
            <w:r>
              <w:rPr>
                <w:sz w:val="20"/>
              </w:rPr>
              <w:t xml:space="preserve">Training aborted on a long row that followed shorter ones</w:t>
            </w:r>
          </w:p>
        </w:tc>
        <w:tc>
          <w:tcPr>
            <w:tcW w:w="2900" w:type="dxa"/>
          </w:tcPr>
          <w:p>
            <w:pPr>
              <w:pStyle w:val="BodyText"/>
              <w:keepNext/>
              <w:spacing w:before="20" w:after="20"/>
              <w:jc w:val="left"/>
            </w:pPr>
            <w:r>
              <w:rPr>
                <w:sz w:val="20"/>
              </w:rPr>
              <w:t xml:space="preserve">Shared GPU memory grows to the longest row seen and is never returned, starving the fused loss</w:t>
            </w:r>
          </w:p>
        </w:tc>
        <w:tc>
          <w:tcPr>
            <w:tcW w:w="3196" w:type="dxa"/>
          </w:tcPr>
          <w:p>
            <w:pPr>
              <w:pStyle w:val="BodyText"/>
              <w:keepNext/>
              <w:spacing w:before="20" w:after="20"/>
              <w:jc w:val="left"/>
            </w:pPr>
            <w:r>
              <w:rPr>
                <w:sz w:val="20"/>
              </w:rPr>
              <w:t xml:space="preserve">Fixed loss chunk size and a warm-up step on the longest row: peak 28.1 GiB dedicated plus 8.3 shared, losses unchanged</w:t>
            </w:r>
          </w:p>
        </w:tc>
      </w:tr>
      <w:tr>
        <w:trPr>
          <w:cantSplit/>
        </w:trPr>
        <w:tc>
          <w:tcPr>
            <w:tcW w:w="2200" w:type="dxa"/>
          </w:tcPr>
          <w:p>
            <w:pPr>
              <w:pStyle w:val="BodyText"/>
              <w:keepNext/>
              <w:spacing w:before="20" w:after="20"/>
              <w:jc w:val="left"/>
            </w:pPr>
            <w:r>
              <w:rPr>
                <w:sz w:val="20"/>
              </w:rPr>
              <w:t xml:space="preserve">EvalPlus scorer does not run on Windows</w:t>
            </w:r>
          </w:p>
        </w:tc>
        <w:tc>
          <w:tcPr>
            <w:tcW w:w="2900" w:type="dxa"/>
          </w:tcPr>
          <w:p>
            <w:pPr>
              <w:pStyle w:val="BodyText"/>
              <w:keepNext/>
              <w:spacing w:before="20" w:after="20"/>
              <w:jc w:val="left"/>
            </w:pPr>
            <w:r>
              <w:rPr>
                <w:sz w:val="20"/>
              </w:rPr>
              <w:t xml:space="preserve">It relies on Unix-only signals and resource limits</w:t>
            </w:r>
          </w:p>
        </w:tc>
        <w:tc>
          <w:tcPr>
            <w:tcW w:w="3196" w:type="dxa"/>
          </w:tcPr>
          <w:p>
            <w:pPr>
              <w:pStyle w:val="BodyText"/>
              <w:keepNext/>
              <w:spacing w:before="20" w:after="20"/>
              <w:jc w:val="left"/>
            </w:pPr>
            <w:r>
              <w:rPr>
                <w:sz w:val="20"/>
              </w:rPr>
              <w:t xml:space="preserve">Sandboxed port; reference solutions score 378/378 (MBPP+) and 163/164 (HumanEval+)</w:t>
            </w:r>
          </w:p>
        </w:tc>
      </w:tr>
      <w:tr>
        <w:trPr>
          <w:cantSplit/>
        </w:trPr>
        <w:tc>
          <w:tcPr>
            <w:tcW w:w="2200" w:type="dxa"/>
          </w:tcPr>
          <w:p>
            <w:pPr>
              <w:pStyle w:val="BodyText"/>
              <w:spacing w:before="20" w:after="20"/>
              <w:jc w:val="left"/>
            </w:pPr>
            <w:r>
              <w:rPr>
                <w:sz w:val="20"/>
              </w:rPr>
              <w:t xml:space="preserve">llama-server exited whenever an adapter was loaded</w:t>
            </w:r>
          </w:p>
        </w:tc>
        <w:tc>
          <w:tcPr>
            <w:tcW w:w="2900" w:type="dxa"/>
          </w:tcPr>
          <w:p>
            <w:pPr>
              <w:pStyle w:val="BodyText"/>
              <w:spacing w:before="20" w:after="20"/>
              <w:jc w:val="left"/>
            </w:pPr>
            <w:r>
              <w:rPr>
                <w:sz w:val="20"/>
              </w:rPr>
              <w:t xml:space="preserve">Vulkan cooperative-matrix kernels fail with adapters on batches over 8 tokens</w:t>
            </w:r>
          </w:p>
        </w:tc>
        <w:tc>
          <w:tcPr>
            <w:tcW w:w="3196" w:type="dxa"/>
          </w:tcPr>
          <w:p>
            <w:pPr>
              <w:pStyle w:val="BodyText"/>
              <w:spacing w:before="20" w:after="20"/>
              <w:jc w:val="left"/>
            </w:pPr>
            <w:r>
              <w:rPr>
                <w:sz w:val="20"/>
              </w:rPr>
              <w:t xml:space="preserve">Kernels off for every model: decoding unchanged, prompts 2.3 times slower</w:t>
            </w:r>
          </w:p>
        </w:tc>
      </w:tr>
    </w:tbl>
    <w:p>
      <w:pPr>
        <w:pStyle w:val="BodyText"/>
        <w:spacing w:after="0"/>
      </w:pPr>
    </w:p>
    <w:p>
      <w:pPr>
        <w:pStyle w:val="Heading2"/>
      </w:pPr>
      <w:r>
        <w:t xml:space="preserve">Export and Evaluation</w:t>
      </w:r>
    </w:p>
    <w:p>
      <w:pPr>
        <w:pStyle w:val="BodyFirst"/>
      </w:pPr>
      <w:r>
        <w:t xml:space="preserve">The evaluation script serves the model through llama.cpp at the full 262k context with thinking on and scores HumanEval+ and MBPP+ with the Windows EvalPlus port. Calibration chose four parallel requests without multi-token prediction (MTP) for throughput; a 542-problem pass takes 10 to 12 hours.</w:t>
      </w:r>
    </w:p>
    <w:p>
      <w:pPr>
        <w:pStyle w:val="BodyText"/>
      </w:pPr>
      <w:r>
        <w:t xml:space="preserve">The adapter is converted alone to GGUF and loaded over the same base, avoiding a 55 GB merged model. Trained against NF4 but served over Q4_K_M, a smoke-test adapter gave close losses (0.756 in training, 0.728 in llama.cpp, 96% top-1 agreement), suggesting the adapter carries over to the deployed base.</w:t>
      </w:r>
    </w:p>
    <w:p>
      <w:pPr>
        <w:pStyle w:val="Heading2"/>
      </w:pPr>
      <w:r>
        <w:t xml:space="preserve">Critical Assessment</w:t>
      </w:r>
    </w:p>
    <w:p>
      <w:pPr>
        <w:pStyle w:val="BodyFirst"/>
      </w:pPr>
      <w:r>
        <w:t xml:space="preserve">Measuring first helped: the parity test caught a wrong fix before any real run used it. Speed and memory were measured only at rank 16. One gate pass takes about two days, which limits how many rounds fit. With 20 to 50 personal tasks, confidence intervals will be wide. Round 0 showed that a working pipeline can still fail to improve a strong base, and that near-ceiling Python benchmarks cannot show small gains.</w:t>
      </w:r>
    </w:p>
    <w:p>
      <w:pPr>
        <w:pStyle w:val="Heading1"/>
      </w:pPr>
      <w:r>
        <w:t xml:space="preserve">Evaluation Plan</w:t>
      </w:r>
    </w:p>
    <w:p>
      <w:pPr>
        <w:pStyle w:val="BodyFirst"/>
      </w:pPr>
      <w:r>
        <w:t xml:space="preserve">Each objective has a success criterion (Table 4). The base (B) and adapted (A) models run on the same Q4_K_M GGUF with identical settings and seeds. The model card recommends temperature 1.0 and a longer reasoning allowance for thinking mode </w:t>
      </w:r>
      <w:fldSimple w:instr=" REF _RefAnneal2 \r \h ">
        <w:r>
          <w:t xml:space="preserve">[2]</w:t>
        </w:r>
      </w:fldSimple>
      <w:r>
        <w:t xml:space="preserve">; Anneal keeps 0.6 and caps reasoning at 16,384 tokens on the gate and 32,768 on EvalPlus to bound evaluation time, so absolute scores may sit below the card's.</w:t>
      </w:r>
    </w:p>
    <w:p>
      <w:pPr>
        <w:pStyle w:val="BodyCentre"/>
        <w:keepNext/>
        <w:spacing w:before="120" w:after="60"/>
      </w:pPr>
      <w:r>
        <w:rPr>
          <w:b/>
          <w:sz w:val="20"/>
        </w:rPr>
        <w:t xml:space="preserve">Table 4.</w:t>
      </w:r>
      <w:r>
        <w:rPr>
          <w:sz w:val="20"/>
        </w:rPr>
        <w:t xml:space="preserve"> Objectives, measures and success criteria.</w:t>
      </w:r>
    </w:p>
    <w:tbl>
      <w:tblPr>
        <w:tblStyle w:val="GridTable4-Accent31"/>
        <w:tblW w:w="8296" w:type="dxa"/>
        <w:tblLayout w:type="fixed"/>
        <w:tblLook w:val="04A0" w:firstRow="1" w:lastRow="0" w:firstColumn="1" w:lastColumn="0" w:noHBand="0" w:noVBand="1"/>
      </w:tblPr>
      <w:tblGrid>
        <w:gridCol w:w="800"/>
        <w:gridCol w:w="4300"/>
        <w:gridCol w:w="3196"/>
      </w:tblGrid>
      <w:tr>
        <w:trPr>
          <w:cantSplit/>
          <w:tblHeader/>
        </w:trPr>
        <w:tc>
          <w:tcPr>
            <w:tcW w:w="800" w:type="dxa"/>
          </w:tcPr>
          <w:p>
            <w:pPr>
              <w:pStyle w:val="BodyText"/>
              <w:keepNext/>
              <w:spacing w:before="20" w:after="20"/>
              <w:jc w:val="left"/>
            </w:pPr>
            <w:r>
              <w:rPr>
                <w:sz w:val="20"/>
              </w:rPr>
              <w:t xml:space="preserve">Obj.</w:t>
            </w:r>
          </w:p>
        </w:tc>
        <w:tc>
          <w:tcPr>
            <w:tcW w:w="4300" w:type="dxa"/>
          </w:tcPr>
          <w:p>
            <w:pPr>
              <w:pStyle w:val="BodyText"/>
              <w:keepNext/>
              <w:spacing w:before="20" w:after="20"/>
              <w:jc w:val="left"/>
            </w:pPr>
            <w:r>
              <w:rPr>
                <w:sz w:val="20"/>
              </w:rPr>
              <w:t xml:space="preserve">Measure</w:t>
            </w:r>
          </w:p>
        </w:tc>
        <w:tc>
          <w:tcPr>
            <w:tcW w:w="3196" w:type="dxa"/>
          </w:tcPr>
          <w:p>
            <w:pPr>
              <w:pStyle w:val="BodyText"/>
              <w:keepNext/>
              <w:spacing w:before="20" w:after="20"/>
              <w:jc w:val="left"/>
            </w:pPr>
            <w:r>
              <w:rPr>
                <w:sz w:val="20"/>
              </w:rPr>
              <w:t xml:space="preserve">Success criterion</w:t>
            </w:r>
          </w:p>
        </w:tc>
      </w:tr>
      <w:tr>
        <w:trPr>
          <w:cantSplit/>
        </w:trPr>
        <w:tc>
          <w:tcPr>
            <w:tcW w:w="800" w:type="dxa"/>
          </w:tcPr>
          <w:p>
            <w:pPr>
              <w:pStyle w:val="BodyText"/>
              <w:keepNext/>
              <w:spacing w:before="20" w:after="20"/>
              <w:jc w:val="left"/>
            </w:pPr>
            <w:r>
              <w:rPr>
                <w:sz w:val="20"/>
              </w:rPr>
              <w:t xml:space="preserve">O1</w:t>
            </w:r>
          </w:p>
        </w:tc>
        <w:tc>
          <w:tcPr>
            <w:tcW w:w="4300" w:type="dxa"/>
          </w:tcPr>
          <w:p>
            <w:pPr>
              <w:pStyle w:val="BodyText"/>
              <w:keepNext/>
              <w:spacing w:before="20" w:after="20"/>
              <w:jc w:val="left"/>
            </w:pPr>
            <w:r>
              <w:rPr>
                <w:sz w:val="20"/>
              </w:rPr>
              <w:t xml:space="preserve">Peak GPU memory per run; resume after a forced stop</w:t>
            </w:r>
          </w:p>
        </w:tc>
        <w:tc>
          <w:tcPr>
            <w:tcW w:w="3196" w:type="dxa"/>
          </w:tcPr>
          <w:p>
            <w:pPr>
              <w:pStyle w:val="BodyText"/>
              <w:keepNext/>
              <w:spacing w:before="20" w:after="20"/>
              <w:jc w:val="left"/>
            </w:pPr>
            <w:r>
              <w:rPr>
                <w:sz w:val="20"/>
              </w:rPr>
              <w:t xml:space="preserve">Within the 32 GB GPU allocation at 12,288 tokens; resumed run matches</w:t>
            </w:r>
          </w:p>
        </w:tc>
      </w:tr>
      <w:tr>
        <w:trPr>
          <w:cantSplit/>
        </w:trPr>
        <w:tc>
          <w:tcPr>
            <w:tcW w:w="800" w:type="dxa"/>
          </w:tcPr>
          <w:p>
            <w:pPr>
              <w:pStyle w:val="BodyText"/>
              <w:keepNext/>
              <w:spacing w:before="20" w:after="20"/>
              <w:jc w:val="left"/>
            </w:pPr>
            <w:r>
              <w:rPr>
                <w:sz w:val="20"/>
              </w:rPr>
              <w:t xml:space="preserve">O2</w:t>
            </w:r>
          </w:p>
        </w:tc>
        <w:tc>
          <w:tcPr>
            <w:tcW w:w="4300" w:type="dxa"/>
          </w:tcPr>
          <w:p>
            <w:pPr>
              <w:pStyle w:val="BodyText"/>
              <w:keepNext/>
              <w:spacing w:before="20" w:after="20"/>
              <w:jc w:val="left"/>
            </w:pPr>
            <w:r>
              <w:rPr>
                <w:sz w:val="20"/>
              </w:rPr>
              <w:t xml:space="preserve">Data card; overlap checks against the gate and every evaluation set</w:t>
            </w:r>
          </w:p>
        </w:tc>
        <w:tc>
          <w:tcPr>
            <w:tcW w:w="3196" w:type="dxa"/>
          </w:tcPr>
          <w:p>
            <w:pPr>
              <w:pStyle w:val="BodyText"/>
              <w:keepNext/>
              <w:spacing w:before="20" w:after="20"/>
              <w:jc w:val="left"/>
            </w:pPr>
            <w:r>
              <w:rPr>
                <w:sz w:val="20"/>
              </w:rPr>
              <w:t xml:space="preserve">Every licence recorded; no detected overlap</w:t>
            </w:r>
          </w:p>
        </w:tc>
      </w:tr>
      <w:tr>
        <w:trPr>
          <w:cantSplit/>
        </w:trPr>
        <w:tc>
          <w:tcPr>
            <w:tcW w:w="800" w:type="dxa"/>
          </w:tcPr>
          <w:p>
            <w:pPr>
              <w:pStyle w:val="BodyText"/>
              <w:keepNext/>
              <w:spacing w:before="20" w:after="20"/>
              <w:jc w:val="left"/>
            </w:pPr>
            <w:r>
              <w:rPr>
                <w:sz w:val="20"/>
              </w:rPr>
              <w:t xml:space="preserve">O3</w:t>
            </w:r>
          </w:p>
        </w:tc>
        <w:tc>
          <w:tcPr>
            <w:tcW w:w="4300" w:type="dxa"/>
          </w:tcPr>
          <w:p>
            <w:pPr>
              <w:pStyle w:val="BodyText"/>
              <w:keepNext/>
              <w:spacing w:before="20" w:after="20"/>
              <w:jc w:val="left"/>
            </w:pPr>
            <w:r>
              <w:rPr>
                <w:sz w:val="20"/>
              </w:rPr>
              <w:t xml:space="preserve">Six-language test pass@1, mean of three seeds (primary); held-out bug-fix and terminal loss; post-August-2026 LiveCodeBench; 20 to 50 personal tasks</w:t>
            </w:r>
          </w:p>
        </w:tc>
        <w:tc>
          <w:tcPr>
            <w:tcW w:w="3196" w:type="dxa"/>
          </w:tcPr>
          <w:p>
            <w:pPr>
              <w:pStyle w:val="BodyText"/>
              <w:keepNext/>
              <w:spacing w:before="20" w:after="20"/>
              <w:jc w:val="left"/>
            </w:pPr>
            <w:r>
              <w:rPr>
                <w:sz w:val="20"/>
              </w:rPr>
              <w:t xml:space="preserve">A beats B on the six-language test with a 95% CI excluding zero; the others reported with CIs</w:t>
            </w:r>
          </w:p>
        </w:tc>
      </w:tr>
      <w:tr>
        <w:trPr>
          <w:cantSplit/>
        </w:trPr>
        <w:tc>
          <w:tcPr>
            <w:tcW w:w="800" w:type="dxa"/>
          </w:tcPr>
          <w:p>
            <w:pPr>
              <w:pStyle w:val="BodyText"/>
              <w:keepNext/>
              <w:spacing w:before="20" w:after="20"/>
              <w:jc w:val="left"/>
            </w:pPr>
            <w:r>
              <w:rPr>
                <w:sz w:val="20"/>
              </w:rPr>
              <w:t xml:space="preserve">O4</w:t>
            </w:r>
          </w:p>
        </w:tc>
        <w:tc>
          <w:tcPr>
            <w:tcW w:w="4300" w:type="dxa"/>
          </w:tcPr>
          <w:p>
            <w:pPr>
              <w:pStyle w:val="BodyText"/>
              <w:keepNext/>
              <w:spacing w:before="20" w:after="20"/>
              <w:jc w:val="left"/>
            </w:pPr>
            <w:r>
              <w:rPr>
                <w:sz w:val="20"/>
              </w:rPr>
              <w:t xml:space="preserve">HumanEval+ and MBPP+, RULER and LongCodeBench at 32k to 256k, and 100 MMLU-Pro questions, for each kept adapter</w:t>
            </w:r>
          </w:p>
        </w:tc>
        <w:tc>
          <w:tcPr>
            <w:tcW w:w="3196" w:type="dxa"/>
          </w:tcPr>
          <w:p>
            <w:pPr>
              <w:pStyle w:val="BodyText"/>
              <w:keepNext/>
              <w:spacing w:before="20" w:after="20"/>
              <w:jc w:val="left"/>
            </w:pPr>
            <w:r>
              <w:rPr>
                <w:sz w:val="20"/>
              </w:rPr>
              <w:t xml:space="preserve">A within 3 percentage points of B on each</w:t>
            </w:r>
          </w:p>
        </w:tc>
      </w:tr>
      <w:tr>
        <w:trPr>
          <w:cantSplit/>
        </w:trPr>
        <w:tc>
          <w:tcPr>
            <w:tcW w:w="800" w:type="dxa"/>
          </w:tcPr>
          <w:p>
            <w:pPr>
              <w:pStyle w:val="BodyText"/>
              <w:keepNext/>
              <w:spacing w:before="20" w:after="20"/>
              <w:jc w:val="left"/>
            </w:pPr>
            <w:r>
              <w:rPr>
                <w:sz w:val="20"/>
              </w:rPr>
              <w:t xml:space="preserve">O5</w:t>
            </w:r>
          </w:p>
        </w:tc>
        <w:tc>
          <w:tcPr>
            <w:tcW w:w="4300" w:type="dxa"/>
          </w:tcPr>
          <w:p>
            <w:pPr>
              <w:pStyle w:val="BodyText"/>
              <w:keepNext/>
              <w:spacing w:before="20" w:after="20"/>
              <w:jc w:val="left"/>
            </w:pPr>
            <w:r>
              <w:rPr>
                <w:sz w:val="20"/>
              </w:rPr>
              <w:t xml:space="preserve">Gate scores and held-out losses of every round; ablations and the paired round</w:t>
            </w:r>
          </w:p>
        </w:tc>
        <w:tc>
          <w:tcPr>
            <w:tcW w:w="3196" w:type="dxa"/>
          </w:tcPr>
          <w:p>
            <w:pPr>
              <w:pStyle w:val="BodyText"/>
              <w:keepNext/>
              <w:spacing w:before="20" w:after="20"/>
              <w:jc w:val="left"/>
            </w:pPr>
            <w:r>
              <w:rPr>
                <w:sz w:val="20"/>
              </w:rPr>
              <w:t xml:space="preserve">Curve and each effect reported with 95% CIs</w:t>
            </w:r>
          </w:p>
        </w:tc>
      </w:tr>
      <w:tr>
        <w:trPr>
          <w:cantSplit/>
        </w:trPr>
        <w:tc>
          <w:tcPr>
            <w:tcW w:w="800" w:type="dxa"/>
          </w:tcPr>
          <w:p>
            <w:pPr>
              <w:pStyle w:val="BodyText"/>
              <w:spacing w:before="20" w:after="20"/>
              <w:jc w:val="left"/>
            </w:pPr>
            <w:r>
              <w:rPr>
                <w:sz w:val="20"/>
              </w:rPr>
              <w:t xml:space="preserve">O6</w:t>
            </w:r>
          </w:p>
        </w:tc>
        <w:tc>
          <w:tcPr>
            <w:tcW w:w="4300" w:type="dxa"/>
          </w:tcPr>
          <w:p>
            <w:pPr>
              <w:pStyle w:val="BodyText"/>
              <w:spacing w:before="20" w:after="20"/>
              <w:jc w:val="left"/>
            </w:pPr>
            <w:r>
              <w:rPr>
                <w:sz w:val="20"/>
              </w:rPr>
              <w:t xml:space="preserve">Clean re-run from the published configuration</w:t>
            </w:r>
          </w:p>
        </w:tc>
        <w:tc>
          <w:tcPr>
            <w:tcW w:w="3196" w:type="dxa"/>
          </w:tcPr>
          <w:p>
            <w:pPr>
              <w:pStyle w:val="BodyText"/>
              <w:spacing w:before="20" w:after="20"/>
              <w:jc w:val="left"/>
            </w:pPr>
            <w:r>
              <w:rPr>
                <w:sz w:val="20"/>
              </w:rPr>
              <w:t xml:space="preserve">Main result reproduced within its CI</w:t>
            </w:r>
          </w:p>
        </w:tc>
      </w:tr>
    </w:tbl>
    <w:p>
      <w:pPr>
        <w:pStyle w:val="BodyText"/>
        <w:spacing w:after="0"/>
      </w:pPr>
    </w:p>
    <w:p>
      <w:pPr>
        <w:pStyle w:val="BodyText"/>
      </w:pPr>
      <w:r>
        <w:rPr>
          <w:b/>
        </w:rPr>
        <w:t xml:space="preserve">Statistics.</w:t>
      </w:r>
      <w:r>
        <w:t xml:space="preserve"> Pass rates are averaged over seeds; 95% confidence intervals for A minus B come from a paired bootstrap over problems, with a paired permutation test for significance. With one seed, round 0's 95% interval spanned 3.7 points; three seeds should narrow it. As the gate also selects adapters, its final gain may be inflated; LiveCodeBench and the personal tasks, which select nothing, check it.</w:t>
      </w:r>
    </w:p>
    <w:p>
      <w:pPr>
        <w:pStyle w:val="BodyText"/>
      </w:pPr>
      <w:r>
        <w:rPr>
          <w:b/>
        </w:rPr>
        <w:t xml:space="preserve">Data scaling.</w:t>
      </w:r>
      <w:r>
        <w:t xml:space="preserve"> Published results suggest small, flattening gains: supervised fine-tuning gains are log-linear in data and smaller for stronger models </w:t>
      </w:r>
      <w:fldSimple w:instr=" REF _RefAnneal30 \r \h ">
        <w:r>
          <w:t xml:space="preserve">[30]</w:t>
        </w:r>
      </w:fldSimple>
      <w:r>
        <w:t xml:space="preserve">, and LoRA learns less than full fine-tuning and forgets more the longer it trains </w:t>
      </w:r>
      <w:fldSimple w:instr=" REF _RefAnneal7 \r \h ">
        <w:r>
          <w:t xml:space="preserve">[7]</w:t>
        </w:r>
      </w:fldSimple>
      <w:r>
        <w:t xml:space="preserve">. Round 0, three-quarters from a probably weaker teacher, showed no clear gain, and many rounds may be rejected; a flat curve is still a result.</w:t>
      </w:r>
    </w:p>
    <w:p>
      <w:pPr>
        <w:pStyle w:val="BodyText"/>
      </w:pPr>
      <w:r>
        <w:rPr>
          <w:b/>
        </w:rPr>
        <w:t xml:space="preserve">Ablations.</w:t>
      </w:r>
      <w:r>
        <w:t xml:space="preserve"> One loop round tests A1 rank and A2 DeltaNet targets together: rank 64 on every projection (435M trainable parameters against 80M), retrained from the base on all kept rows. A paired round retrains a kept adapter's rows from the base, comparing continuing with replay against retraining. Separate 1,000-row runs cover A3 example length (4,096, 8,192), A4 long examples or trainable normalisation if a kept adapter fails O4, and A5 an 8-bit base.</w:t>
      </w:r>
    </w:p>
    <w:p>
      <w:pPr>
        <w:pStyle w:val="BodyText"/>
      </w:pPr>
      <w:r>
        <w:rPr>
          <w:b/>
        </w:rPr>
        <w:t xml:space="preserve">Contamination.</w:t>
      </w:r>
      <w:r>
        <w:t xml:space="preserve"> LiveCodeBench is limited to problems released after the model (August 2026 </w:t>
      </w:r>
      <w:fldSimple w:instr=" REF _RefAnneal2 \r \h ">
        <w:r>
          <w:t xml:space="preserve">[2]</w:t>
        </w:r>
      </w:fldSimple>
      <w:r>
        <w:t xml:space="preserve">). Two code sets are undated, so training rows are also checked against these problems.</w:t>
      </w:r>
    </w:p>
    <w:p>
      <w:pPr>
        <w:pStyle w:val="Heading1"/>
      </w:pPr>
      <w:r>
        <w:t xml:space="preserve">Project Plan</w:t>
      </w:r>
    </w:p>
    <w:p>
      <w:pPr>
        <w:pStyle w:val="BodyFirst"/>
      </w:pPr>
      <w:r>
        <w:t xml:space="preserve">Round 0 is scored (Section 3.4), and the loop has started from the base model. Of about 136 usable machine days from November to March, roughly 15 go to ablations and 20 to evaluation; loop rounds use the rest.</w:t>
      </w:r>
    </w:p>
    <w:tbl>
      <w:tblPr>
        <w:tblStyle w:val="GridTable4-Accent31"/>
        <w:tblW w:w="8296" w:type="dxa"/>
        <w:tblLayout w:type="fixed"/>
        <w:tblLook w:val="04A0" w:firstRow="1" w:lastRow="0" w:firstColumn="1" w:lastColumn="0" w:noHBand="0" w:noVBand="1"/>
      </w:tblPr>
      <w:tblGrid>
        <w:gridCol w:w="1700"/>
        <w:gridCol w:w="4200"/>
        <w:gridCol w:w="2396"/>
      </w:tblGrid>
      <w:tr>
        <w:trPr>
          <w:cantSplit/>
          <w:tblHeader/>
        </w:trPr>
        <w:tc>
          <w:tcPr>
            <w:tcW w:w="1700" w:type="dxa"/>
          </w:tcPr>
          <w:p>
            <w:pPr>
              <w:pStyle w:val="BodyText"/>
              <w:keepNext/>
              <w:spacing w:before="20" w:after="20"/>
              <w:jc w:val="left"/>
            </w:pPr>
            <w:r>
              <w:rPr>
                <w:sz w:val="20"/>
              </w:rPr>
              <w:t xml:space="preserve">Week</w:t>
            </w:r>
          </w:p>
        </w:tc>
        <w:tc>
          <w:tcPr>
            <w:tcW w:w="4200" w:type="dxa"/>
          </w:tcPr>
          <w:p>
            <w:pPr>
              <w:pStyle w:val="BodyText"/>
              <w:keepNext/>
              <w:spacing w:before="20" w:after="20"/>
              <w:jc w:val="left"/>
            </w:pPr>
            <w:r>
              <w:rPr>
                <w:sz w:val="20"/>
              </w:rPr>
              <w:t xml:space="preserve">Project Task</w:t>
            </w:r>
          </w:p>
        </w:tc>
        <w:tc>
          <w:tcPr>
            <w:tcW w:w="2396" w:type="dxa"/>
          </w:tcPr>
          <w:p>
            <w:pPr>
              <w:pStyle w:val="BodyText"/>
              <w:keepNext/>
              <w:spacing w:before="20" w:after="20"/>
              <w:jc w:val="left"/>
            </w:pPr>
            <w:r>
              <w:rPr>
                <w:sz w:val="20"/>
              </w:rPr>
              <w:t xml:space="preserve">Deliverables</w:t>
            </w:r>
          </w:p>
        </w:tc>
      </w:tr>
      <w:tr>
        <w:trPr>
          <w:cantSplit/>
        </w:trPr>
        <w:tc>
          <w:tcPr>
            <w:tcW w:w="1700" w:type="dxa"/>
          </w:tcPr>
          <w:p>
            <w:pPr>
              <w:pStyle w:val="BodyText"/>
              <w:keepNext/>
              <w:spacing w:before="20" w:after="20"/>
              <w:jc w:val="left"/>
            </w:pPr>
            <w:r>
              <w:rPr>
                <w:sz w:val="20"/>
              </w:rPr>
              <w:t xml:space="preserve">Autumn: 7 - 8</w:t>
            </w:r>
          </w:p>
        </w:tc>
        <w:tc>
          <w:tcPr>
            <w:tcW w:w="4200" w:type="dxa"/>
          </w:tcPr>
          <w:p>
            <w:pPr>
              <w:pStyle w:val="BodyText"/>
              <w:keepNext/>
              <w:spacing w:before="20" w:after="20"/>
              <w:jc w:val="left"/>
            </w:pPr>
            <w:r>
              <w:rPr>
                <w:sz w:val="20"/>
              </w:rPr>
              <w:t xml:space="preserve">Round 0 trained and scored against the base: no significant change. Six-language gate built; longer rows tested; loop started.</w:t>
            </w:r>
          </w:p>
        </w:tc>
        <w:tc>
          <w:tcPr>
            <w:tcW w:w="2396" w:type="dxa"/>
          </w:tcPr>
          <w:p>
            <w:pPr>
              <w:pStyle w:val="BodyText"/>
              <w:keepNext/>
              <w:spacing w:before="20" w:after="20"/>
              <w:jc w:val="left"/>
            </w:pPr>
            <w:r>
              <w:rPr>
                <w:sz w:val="20"/>
              </w:rPr>
              <w:t xml:space="preserve">First before-and-after scores</w:t>
            </w:r>
          </w:p>
        </w:tc>
      </w:tr>
      <w:tr>
        <w:trPr>
          <w:cantSplit/>
        </w:trPr>
        <w:tc>
          <w:tcPr>
            <w:tcW w:w="1700" w:type="dxa"/>
          </w:tcPr>
          <w:p>
            <w:pPr>
              <w:pStyle w:val="BodyText"/>
              <w:keepNext/>
              <w:spacing w:before="20" w:after="20"/>
              <w:jc w:val="left"/>
            </w:pPr>
            <w:r>
              <w:rPr>
                <w:sz w:val="20"/>
              </w:rPr>
              <w:t xml:space="preserve">Autumn: 9 - 10</w:t>
            </w:r>
          </w:p>
        </w:tc>
        <w:tc>
          <w:tcPr>
            <w:tcW w:w="4200" w:type="dxa"/>
          </w:tcPr>
          <w:p>
            <w:pPr>
              <w:pStyle w:val="BodyText"/>
              <w:keepNext/>
              <w:spacing w:before="20" w:after="20"/>
              <w:jc w:val="left"/>
            </w:pPr>
            <w:r>
              <w:rPr>
                <w:sz w:val="20"/>
              </w:rPr>
              <w:t xml:space="preserve">Three-seed baseline; write the personal tasks. Ablation A3, pausing the loop.</w:t>
            </w:r>
          </w:p>
        </w:tc>
        <w:tc>
          <w:tcPr>
            <w:tcW w:w="2396" w:type="dxa"/>
          </w:tcPr>
          <w:p>
            <w:pPr>
              <w:pStyle w:val="BodyText"/>
              <w:keepNext/>
              <w:spacing w:before="20" w:after="20"/>
              <w:jc w:val="left"/>
            </w:pPr>
            <w:r>
              <w:rPr>
                <w:sz w:val="20"/>
              </w:rPr>
              <w:t xml:space="preserve">Baseline results with spread</w:t>
            </w:r>
          </w:p>
        </w:tc>
      </w:tr>
      <w:tr>
        <w:trPr>
          <w:cantSplit/>
        </w:trPr>
        <w:tc>
          <w:tcPr>
            <w:tcW w:w="1700" w:type="dxa"/>
          </w:tcPr>
          <w:p>
            <w:pPr>
              <w:pStyle w:val="BodyText"/>
              <w:keepNext/>
              <w:spacing w:before="20" w:after="20"/>
              <w:jc w:val="left"/>
            </w:pPr>
            <w:r>
              <w:rPr>
                <w:sz w:val="20"/>
              </w:rPr>
              <w:t xml:space="preserve">Autumn: 11 - 12</w:t>
            </w:r>
          </w:p>
        </w:tc>
        <w:tc>
          <w:tcPr>
            <w:tcW w:w="4200" w:type="dxa"/>
          </w:tcPr>
          <w:p>
            <w:pPr>
              <w:pStyle w:val="BodyText"/>
              <w:keepNext/>
              <w:spacing w:before="20" w:after="20"/>
              <w:jc w:val="left"/>
            </w:pPr>
            <w:r>
              <w:rPr>
                <w:sz w:val="20"/>
              </w:rPr>
              <w:t xml:space="preserve">Remaining ablations, including A5. Loop continues.</w:t>
            </w:r>
          </w:p>
        </w:tc>
        <w:tc>
          <w:tcPr>
            <w:tcW w:w="2396" w:type="dxa"/>
          </w:tcPr>
          <w:p>
            <w:pPr>
              <w:pStyle w:val="BodyText"/>
              <w:keepNext/>
              <w:spacing w:before="20" w:after="20"/>
              <w:jc w:val="left"/>
            </w:pPr>
            <w:r>
              <w:rPr>
                <w:sz w:val="20"/>
              </w:rPr>
              <w:t xml:space="preserve">Ablation results; working pipeline (O1)</w:t>
            </w:r>
          </w:p>
        </w:tc>
      </w:tr>
      <w:tr>
        <w:trPr>
          <w:cantSplit/>
        </w:trPr>
        <w:tc>
          <w:tcPr>
            <w:tcW w:w="1700" w:type="dxa"/>
          </w:tcPr>
          <w:p>
            <w:pPr>
              <w:pStyle w:val="BodyText"/>
              <w:spacing w:before="20" w:after="20"/>
              <w:jc w:val="left"/>
            </w:pPr>
            <w:r>
              <w:rPr>
                <w:sz w:val="20"/>
              </w:rPr>
              <w:t xml:space="preserve">Autumn: 13 - 15</w:t>
            </w:r>
          </w:p>
        </w:tc>
        <w:tc>
          <w:tcPr>
            <w:tcW w:w="4200" w:type="dxa"/>
          </w:tcPr>
          <w:p>
            <w:pPr>
              <w:pStyle w:val="BodyText"/>
              <w:spacing w:before="20" w:after="20"/>
              <w:jc w:val="left"/>
            </w:pPr>
            <w:r>
              <w:rPr>
                <w:sz w:val="20"/>
              </w:rPr>
              <w:t xml:space="preserve">Exams. The loop runs unattended.</w:t>
            </w:r>
          </w:p>
        </w:tc>
        <w:tc>
          <w:tcPr>
            <w:tcW w:w="2396" w:type="dxa"/>
          </w:tcPr>
          <w:p>
            <w:pPr>
              <w:pStyle w:val="BodyText"/>
              <w:spacing w:before="20" w:after="20"/>
              <w:jc w:val="left"/>
            </w:pPr>
          </w:p>
        </w:tc>
      </w:tr>
    </w:tbl>
    <w:p>
      <w:pPr>
        <w:pStyle w:val="BodyText"/>
        <w:spacing w:after="0"/>
      </w:pPr>
    </w:p>
    <w:tbl>
      <w:tblPr>
        <w:tblStyle w:val="GridTable4-Accent31"/>
        <w:tblW w:w="8296" w:type="dxa"/>
        <w:tblLayout w:type="fixed"/>
        <w:tblLook w:val="04A0" w:firstRow="1" w:lastRow="0" w:firstColumn="1" w:lastColumn="0" w:noHBand="0" w:noVBand="1"/>
      </w:tblPr>
      <w:tblGrid>
        <w:gridCol w:w="1700"/>
        <w:gridCol w:w="4200"/>
        <w:gridCol w:w="2396"/>
      </w:tblGrid>
      <w:tr>
        <w:trPr>
          <w:cantSplit/>
          <w:tblHeader/>
        </w:trPr>
        <w:tc>
          <w:tcPr>
            <w:tcW w:w="1700" w:type="dxa"/>
          </w:tcPr>
          <w:p>
            <w:pPr>
              <w:pStyle w:val="BodyText"/>
              <w:keepNext/>
              <w:spacing w:before="20" w:after="20"/>
              <w:jc w:val="left"/>
            </w:pPr>
            <w:r>
              <w:rPr>
                <w:sz w:val="20"/>
              </w:rPr>
              <w:t xml:space="preserve">Week</w:t>
            </w:r>
          </w:p>
        </w:tc>
        <w:tc>
          <w:tcPr>
            <w:tcW w:w="4200" w:type="dxa"/>
          </w:tcPr>
          <w:p>
            <w:pPr>
              <w:pStyle w:val="BodyText"/>
              <w:keepNext/>
              <w:spacing w:before="20" w:after="20"/>
              <w:jc w:val="left"/>
            </w:pPr>
            <w:r>
              <w:rPr>
                <w:sz w:val="20"/>
              </w:rPr>
              <w:t xml:space="preserve">Project Task</w:t>
            </w:r>
          </w:p>
        </w:tc>
        <w:tc>
          <w:tcPr>
            <w:tcW w:w="2396" w:type="dxa"/>
          </w:tcPr>
          <w:p>
            <w:pPr>
              <w:pStyle w:val="BodyText"/>
              <w:keepNext/>
              <w:spacing w:before="20" w:after="20"/>
              <w:jc w:val="left"/>
            </w:pPr>
            <w:r>
              <w:rPr>
                <w:sz w:val="20"/>
              </w:rPr>
              <w:t xml:space="preserve">Deliverables</w:t>
            </w:r>
          </w:p>
        </w:tc>
      </w:tr>
      <w:tr>
        <w:trPr>
          <w:cantSplit/>
        </w:trPr>
        <w:tc>
          <w:tcPr>
            <w:tcW w:w="1700" w:type="dxa"/>
          </w:tcPr>
          <w:p>
            <w:pPr>
              <w:pStyle w:val="BodyText"/>
              <w:keepNext/>
              <w:spacing w:before="20" w:after="20"/>
              <w:jc w:val="left"/>
            </w:pPr>
            <w:r>
              <w:rPr>
                <w:sz w:val="20"/>
              </w:rPr>
              <w:t xml:space="preserve">Winter break</w:t>
            </w:r>
          </w:p>
        </w:tc>
        <w:tc>
          <w:tcPr>
            <w:tcW w:w="4200" w:type="dxa"/>
          </w:tcPr>
          <w:p>
            <w:pPr>
              <w:pStyle w:val="BodyText"/>
              <w:keepNext/>
              <w:spacing w:before="20" w:after="20"/>
              <w:jc w:val="left"/>
            </w:pPr>
            <w:r>
              <w:rPr>
                <w:sz w:val="20"/>
              </w:rPr>
              <w:t xml:space="preserve">Loop continues; ablation winners restart it from the base.</w:t>
            </w:r>
          </w:p>
        </w:tc>
        <w:tc>
          <w:tcPr>
            <w:tcW w:w="2396" w:type="dxa"/>
          </w:tcPr>
          <w:p>
            <w:pPr>
              <w:pStyle w:val="BodyText"/>
              <w:keepNext/>
              <w:spacing w:before="20" w:after="20"/>
              <w:jc w:val="left"/>
            </w:pPr>
            <w:r>
              <w:rPr>
                <w:sz w:val="20"/>
              </w:rPr>
              <w:t xml:space="preserve">Data card (O2)</w:t>
            </w:r>
          </w:p>
        </w:tc>
      </w:tr>
      <w:tr>
        <w:trPr>
          <w:cantSplit/>
        </w:trPr>
        <w:tc>
          <w:tcPr>
            <w:tcW w:w="1700" w:type="dxa"/>
          </w:tcPr>
          <w:p>
            <w:pPr>
              <w:pStyle w:val="BodyText"/>
              <w:keepNext/>
              <w:spacing w:before="20" w:after="20"/>
              <w:jc w:val="left"/>
            </w:pPr>
            <w:r>
              <w:rPr>
                <w:sz w:val="20"/>
              </w:rPr>
              <w:t xml:space="preserve">Spring: 1 - 2</w:t>
            </w:r>
          </w:p>
        </w:tc>
        <w:tc>
          <w:tcPr>
            <w:tcW w:w="4200" w:type="dxa"/>
          </w:tcPr>
          <w:p>
            <w:pPr>
              <w:pStyle w:val="BodyText"/>
              <w:keepNext/>
              <w:spacing w:before="20" w:after="20"/>
              <w:jc w:val="left"/>
            </w:pPr>
            <w:r>
              <w:rPr>
                <w:sz w:val="20"/>
              </w:rPr>
              <w:t xml:space="preserve">Loop continues. Interim demo. EvalPlus on new kept adapters.</w:t>
            </w:r>
          </w:p>
        </w:tc>
        <w:tc>
          <w:tcPr>
            <w:tcW w:w="2396" w:type="dxa"/>
          </w:tcPr>
          <w:p>
            <w:pPr>
              <w:pStyle w:val="BodyText"/>
              <w:keepNext/>
              <w:spacing w:before="20" w:after="20"/>
              <w:jc w:val="left"/>
            </w:pPr>
            <w:r>
              <w:rPr>
                <w:sz w:val="20"/>
              </w:rPr>
              <w:t xml:space="preserve">Scaling points</w:t>
            </w:r>
          </w:p>
        </w:tc>
      </w:tr>
      <w:tr>
        <w:trPr>
          <w:cantSplit/>
        </w:trPr>
        <w:tc>
          <w:tcPr>
            <w:tcW w:w="1700" w:type="dxa"/>
          </w:tcPr>
          <w:p>
            <w:pPr>
              <w:pStyle w:val="BodyText"/>
              <w:keepNext/>
              <w:spacing w:before="20" w:after="20"/>
              <w:jc w:val="left"/>
            </w:pPr>
            <w:r>
              <w:rPr>
                <w:sz w:val="20"/>
              </w:rPr>
              <w:t xml:space="preserve">Spring: 3 - 4</w:t>
            </w:r>
          </w:p>
        </w:tc>
        <w:tc>
          <w:tcPr>
            <w:tcW w:w="4200" w:type="dxa"/>
          </w:tcPr>
          <w:p>
            <w:pPr>
              <w:pStyle w:val="BodyText"/>
              <w:keepNext/>
              <w:spacing w:before="20" w:after="20"/>
              <w:jc w:val="left"/>
            </w:pPr>
            <w:r>
              <w:rPr>
                <w:sz w:val="20"/>
              </w:rPr>
              <w:t xml:space="preserve">Loop continues. Long-context checks on the best adapter.</w:t>
            </w:r>
          </w:p>
        </w:tc>
        <w:tc>
          <w:tcPr>
            <w:tcW w:w="2396" w:type="dxa"/>
          </w:tcPr>
          <w:p>
            <w:pPr>
              <w:pStyle w:val="BodyText"/>
              <w:keepNext/>
              <w:spacing w:before="20" w:after="20"/>
              <w:jc w:val="left"/>
            </w:pPr>
            <w:r>
              <w:rPr>
                <w:sz w:val="20"/>
              </w:rPr>
              <w:t xml:space="preserve">Retention results (O4)</w:t>
            </w:r>
          </w:p>
        </w:tc>
      </w:tr>
      <w:tr>
        <w:trPr>
          <w:cantSplit/>
        </w:trPr>
        <w:tc>
          <w:tcPr>
            <w:tcW w:w="1700" w:type="dxa"/>
          </w:tcPr>
          <w:p>
            <w:pPr>
              <w:pStyle w:val="BodyText"/>
              <w:keepNext/>
              <w:spacing w:before="20" w:after="20"/>
              <w:jc w:val="left"/>
            </w:pPr>
            <w:r>
              <w:rPr>
                <w:sz w:val="20"/>
              </w:rPr>
              <w:t xml:space="preserve">Spring: 5 - 6</w:t>
            </w:r>
          </w:p>
        </w:tc>
        <w:tc>
          <w:tcPr>
            <w:tcW w:w="4200" w:type="dxa"/>
          </w:tcPr>
          <w:p>
            <w:pPr>
              <w:pStyle w:val="BodyText"/>
              <w:keepNext/>
              <w:spacing w:before="20" w:after="20"/>
              <w:jc w:val="left"/>
            </w:pPr>
            <w:r>
              <w:rPr>
                <w:sz w:val="20"/>
              </w:rPr>
              <w:t xml:space="preserve">Loop continues. Poster session.</w:t>
            </w:r>
          </w:p>
        </w:tc>
        <w:tc>
          <w:tcPr>
            <w:tcW w:w="2396" w:type="dxa"/>
          </w:tcPr>
          <w:p>
            <w:pPr>
              <w:pStyle w:val="BodyText"/>
              <w:keepNext/>
              <w:spacing w:before="20" w:after="20"/>
              <w:jc w:val="left"/>
            </w:pPr>
            <w:r>
              <w:rPr>
                <w:sz w:val="20"/>
              </w:rPr>
              <w:t xml:space="preserve">Scaling points; poster</w:t>
            </w:r>
          </w:p>
        </w:tc>
      </w:tr>
      <w:tr>
        <w:trPr>
          <w:cantSplit/>
        </w:trPr>
        <w:tc>
          <w:tcPr>
            <w:tcW w:w="1700" w:type="dxa"/>
          </w:tcPr>
          <w:p>
            <w:pPr>
              <w:pStyle w:val="BodyText"/>
              <w:keepNext/>
              <w:spacing w:before="20" w:after="20"/>
              <w:jc w:val="left"/>
            </w:pPr>
            <w:r>
              <w:rPr>
                <w:sz w:val="20"/>
              </w:rPr>
              <w:t xml:space="preserve">Spring: 7 - 8</w:t>
            </w:r>
          </w:p>
        </w:tc>
        <w:tc>
          <w:tcPr>
            <w:tcW w:w="4200" w:type="dxa"/>
          </w:tcPr>
          <w:p>
            <w:pPr>
              <w:pStyle w:val="BodyText"/>
              <w:keepNext/>
              <w:spacing w:before="20" w:after="20"/>
              <w:jc w:val="left"/>
            </w:pPr>
            <w:r>
              <w:rPr>
                <w:sz w:val="20"/>
              </w:rPr>
              <w:t xml:space="preserve">Freeze the best kept adapter. Three-seed evaluation.</w:t>
            </w:r>
          </w:p>
        </w:tc>
        <w:tc>
          <w:tcPr>
            <w:tcW w:w="2396" w:type="dxa"/>
          </w:tcPr>
          <w:p>
            <w:pPr>
              <w:pStyle w:val="BodyText"/>
              <w:keepNext/>
              <w:spacing w:before="20" w:after="20"/>
              <w:jc w:val="left"/>
            </w:pPr>
            <w:r>
              <w:rPr>
                <w:sz w:val="20"/>
              </w:rPr>
              <w:t xml:space="preserve">Scaling curve and final results (O3 to O5)</w:t>
            </w:r>
          </w:p>
        </w:tc>
      </w:tr>
      <w:tr>
        <w:trPr>
          <w:cantSplit/>
        </w:trPr>
        <w:tc>
          <w:tcPr>
            <w:tcW w:w="1700" w:type="dxa"/>
          </w:tcPr>
          <w:p>
            <w:pPr>
              <w:pStyle w:val="BodyText"/>
              <w:keepNext/>
              <w:spacing w:before="20" w:after="20"/>
              <w:jc w:val="left"/>
            </w:pPr>
            <w:r>
              <w:rPr>
                <w:sz w:val="20"/>
              </w:rPr>
              <w:t xml:space="preserve">Spring: 9 - 10</w:t>
            </w:r>
          </w:p>
        </w:tc>
        <w:tc>
          <w:tcPr>
            <w:tcW w:w="4200" w:type="dxa"/>
          </w:tcPr>
          <w:p>
            <w:pPr>
              <w:pStyle w:val="BodyText"/>
              <w:keepNext/>
              <w:spacing w:before="20" w:after="20"/>
              <w:jc w:val="left"/>
            </w:pPr>
            <w:r>
              <w:rPr>
                <w:sz w:val="20"/>
              </w:rPr>
              <w:t xml:space="preserve">Reproducibility package. Draft method and results; send to supervisor.</w:t>
            </w:r>
          </w:p>
        </w:tc>
        <w:tc>
          <w:tcPr>
            <w:tcW w:w="2396" w:type="dxa"/>
          </w:tcPr>
          <w:p>
            <w:pPr>
              <w:pStyle w:val="BodyText"/>
              <w:keepNext/>
              <w:spacing w:before="20" w:after="20"/>
              <w:jc w:val="left"/>
            </w:pPr>
            <w:r>
              <w:rPr>
                <w:sz w:val="20"/>
              </w:rPr>
              <w:t xml:space="preserve">Public repository (O6); chapters 4 and 5</w:t>
            </w:r>
          </w:p>
        </w:tc>
      </w:tr>
      <w:tr>
        <w:trPr>
          <w:cantSplit/>
        </w:trPr>
        <w:tc>
          <w:tcPr>
            <w:tcW w:w="1700" w:type="dxa"/>
          </w:tcPr>
          <w:p>
            <w:pPr>
              <w:pStyle w:val="BodyText"/>
              <w:spacing w:before="20" w:after="20"/>
              <w:jc w:val="left"/>
            </w:pPr>
            <w:r>
              <w:rPr>
                <w:sz w:val="20"/>
              </w:rPr>
              <w:t xml:space="preserve">Spring: 11 - 12</w:t>
            </w:r>
          </w:p>
        </w:tc>
        <w:tc>
          <w:tcPr>
            <w:tcW w:w="4200" w:type="dxa"/>
          </w:tcPr>
          <w:p>
            <w:pPr>
              <w:pStyle w:val="BodyText"/>
              <w:spacing w:before="20" w:after="20"/>
              <w:jc w:val="left"/>
            </w:pPr>
            <w:r>
              <w:rPr>
                <w:sz w:val="20"/>
              </w:rPr>
              <w:t xml:space="preserve">Draft evaluation and conclusions; address comments; submit.</w:t>
            </w:r>
          </w:p>
        </w:tc>
        <w:tc>
          <w:tcPr>
            <w:tcW w:w="2396" w:type="dxa"/>
          </w:tcPr>
          <w:p>
            <w:pPr>
              <w:pStyle w:val="BodyText"/>
              <w:spacing w:before="20" w:after="20"/>
              <w:jc w:val="left"/>
            </w:pPr>
            <w:r>
              <w:rPr>
                <w:sz w:val="20"/>
              </w:rPr>
              <w:t xml:space="preserve">Final dissertation and code</w:t>
            </w:r>
          </w:p>
        </w:tc>
      </w:tr>
    </w:tbl>
    <w:p>
      <w:pPr>
        <w:pStyle w:val="BodyText"/>
        <w:spacing w:after="0"/>
      </w:pPr>
    </w:p>
    <w:p>
      <w:pPr>
        <w:pStyle w:val="BodyText"/>
      </w:pPr>
      <w:r>
        <w:t xml:space="preserve">If a driver or package update breaks the Windows stack, the pinned versions are reinstalled, with WSL2 as a fallback. If a larger adapter trains much slower than measured, fewer rounds fit, but every kept round still adds a point to the curve. If an improvement sits inside run-to-run noise, more seeds are run before concluding. Every change of plan is dated in the decision log.</w:t>
      </w:r>
    </w:p>
    <w:p>
      <w:pPr>
        <w:pStyle w:val="Unnumbered1"/>
      </w:pPr>
      <w:r>
        <w:t xml:space="preserve">References</w:t>
      </w:r>
    </w:p>
    <w:p>
      <w:pPr>
        <w:pStyle w:val="Reference"/>
        <w:tabs>
          <w:tab w:val="clear" w:pos="426"/>
          <w:tab w:val="num" w:pos="567"/>
        </w:tabs>
        <w:ind w:left="567" w:hanging="567"/>
        <w:jc w:val="left"/>
      </w:pPr>
      <w:bookmarkStart w:id="901" w:name="_RefAnneal1"/>
      <w:r>
        <w:t xml:space="preserve">T. Dettmers, A. Pagnoni, A. Holtzman, and L. Zettlemoyer, "QLoRA: Efficient finetuning of quantized LLMs," in </w:t>
      </w:r>
      <w:r>
        <w:rPr>
          <w:i/>
        </w:rPr>
        <w:t xml:space="preserve">Advances in Neural Information Processing Systems (NeurIPS)</w:t>
      </w:r>
      <w:r>
        <w:t xml:space="preserve">, vol. 36, 2023, pp. 10088-10115. </w:t>
      </w:r>
      <w:r>
        <w:t xml:space="preserve">[Online]. Available: </w:t>
      </w:r>
      <w:hyperlink r:id="rId22">
        <w:r>
          <w:rPr>
            <w:color w:val="0563C1"/>
            <w:u w:val="single"/>
          </w:rPr>
          <w:t xml:space="preserve">https://arxiv.org/abs/2305.14314</w:t>
        </w:r>
      </w:hyperlink>
      <w:bookmarkEnd w:id="901"/>
    </w:p>
    <w:p>
      <w:pPr>
        <w:pStyle w:val="Reference"/>
        <w:tabs>
          <w:tab w:val="clear" w:pos="426"/>
          <w:tab w:val="num" w:pos="567"/>
        </w:tabs>
        <w:ind w:left="567" w:hanging="567"/>
        <w:jc w:val="left"/>
      </w:pPr>
      <w:bookmarkStart w:id="902" w:name="_RefAnneal2"/>
      <w:r>
        <w:t xml:space="preserve">Qwen Team, "Qwen3.8-27B," Hugging Face model card, Aug. 2026. </w:t>
      </w:r>
      <w:r>
        <w:t xml:space="preserve">[Online]. Available: </w:t>
      </w:r>
      <w:hyperlink r:id="rId23">
        <w:r>
          <w:rPr>
            <w:color w:val="0563C1"/>
            <w:u w:val="single"/>
          </w:rPr>
          <w:t xml:space="preserve">https://huggingface.co/Qwen/Qwen3.8-27B</w:t>
        </w:r>
      </w:hyperlink>
      <w:r>
        <w:t xml:space="preserve"> (accessed Oct. 17, 2026).</w:t>
      </w:r>
      <w:bookmarkEnd w:id="902"/>
    </w:p>
    <w:p>
      <w:pPr>
        <w:pStyle w:val="Reference"/>
        <w:tabs>
          <w:tab w:val="clear" w:pos="426"/>
          <w:tab w:val="num" w:pos="567"/>
        </w:tabs>
        <w:ind w:left="567" w:hanging="567"/>
        <w:jc w:val="left"/>
      </w:pPr>
      <w:bookmarkStart w:id="903" w:name="_RefAnneal3"/>
      <w:r>
        <w:t xml:space="preserve">C.-P. Hsieh </w:t>
      </w:r>
      <w:r>
        <w:rPr>
          <w:i/>
        </w:rPr>
        <w:t xml:space="preserve">et al.</w:t>
      </w:r>
      <w:r>
        <w:t xml:space="preserve">, "RULER: What's the real context size of your long-context language models?" in </w:t>
      </w:r>
      <w:r>
        <w:rPr>
          <w:i/>
        </w:rPr>
        <w:t xml:space="preserve">Proc. Conf. Language Modeling (COLM)</w:t>
      </w:r>
      <w:r>
        <w:t xml:space="preserve">, 2024. </w:t>
      </w:r>
      <w:r>
        <w:t xml:space="preserve">[Online]. Available: </w:t>
      </w:r>
      <w:hyperlink r:id="rId24">
        <w:r>
          <w:rPr>
            <w:color w:val="0563C1"/>
            <w:u w:val="single"/>
          </w:rPr>
          <w:t xml:space="preserve">https://arxiv.org/abs/2404.06654</w:t>
        </w:r>
      </w:hyperlink>
      <w:bookmarkEnd w:id="903"/>
    </w:p>
    <w:p>
      <w:pPr>
        <w:pStyle w:val="Reference"/>
        <w:tabs>
          <w:tab w:val="clear" w:pos="426"/>
          <w:tab w:val="num" w:pos="567"/>
        </w:tabs>
        <w:ind w:left="567" w:hanging="567"/>
        <w:jc w:val="left"/>
      </w:pPr>
      <w:bookmarkStart w:id="904" w:name="_RefAnneal4"/>
      <w:r>
        <w:t xml:space="preserve">E. J. Hu </w:t>
      </w:r>
      <w:r>
        <w:rPr>
          <w:i/>
        </w:rPr>
        <w:t xml:space="preserve">et al.</w:t>
      </w:r>
      <w:r>
        <w:t xml:space="preserve">, "LoRA: Low-rank adaptation of large language models," in </w:t>
      </w:r>
      <w:r>
        <w:rPr>
          <w:i/>
        </w:rPr>
        <w:t xml:space="preserve">Proc. Int. Conf. Learning Representations (ICLR)</w:t>
      </w:r>
      <w:r>
        <w:t xml:space="preserve">, 2022. </w:t>
      </w:r>
      <w:r>
        <w:t xml:space="preserve">[Online]. Available: </w:t>
      </w:r>
      <w:hyperlink r:id="rId25">
        <w:r>
          <w:rPr>
            <w:color w:val="0563C1"/>
            <w:u w:val="single"/>
          </w:rPr>
          <w:t xml:space="preserve">https://arxiv.org/abs/2106.09685</w:t>
        </w:r>
      </w:hyperlink>
      <w:bookmarkEnd w:id="904"/>
    </w:p>
    <w:p>
      <w:pPr>
        <w:pStyle w:val="Reference"/>
        <w:tabs>
          <w:tab w:val="clear" w:pos="426"/>
          <w:tab w:val="num" w:pos="567"/>
        </w:tabs>
        <w:ind w:left="567" w:hanging="567"/>
        <w:jc w:val="left"/>
      </w:pPr>
      <w:bookmarkStart w:id="905" w:name="_RefAnneal5"/>
      <w:r>
        <w:t xml:space="preserve">Unsloth, "Qwen3.5 fine-tuning guide," Unsloth documentation, 2026. </w:t>
      </w:r>
      <w:r>
        <w:t xml:space="preserve">[Online]. Available: </w:t>
      </w:r>
      <w:hyperlink r:id="rId26">
        <w:r>
          <w:rPr>
            <w:color w:val="0563C1"/>
            <w:u w:val="single"/>
          </w:rPr>
          <w:t xml:space="preserve">https://unsloth.ai/docs/models/qwen3.5/fine-tune</w:t>
        </w:r>
      </w:hyperlink>
      <w:r>
        <w:t xml:space="preserve"> (accessed Oct. 17, 2026).</w:t>
      </w:r>
      <w:bookmarkEnd w:id="905"/>
    </w:p>
    <w:p>
      <w:pPr>
        <w:pStyle w:val="Reference"/>
        <w:tabs>
          <w:tab w:val="clear" w:pos="426"/>
          <w:tab w:val="num" w:pos="567"/>
        </w:tabs>
        <w:ind w:left="567" w:hanging="567"/>
        <w:jc w:val="left"/>
      </w:pPr>
      <w:bookmarkStart w:id="906" w:name="_RefAnneal6"/>
      <w:r>
        <w:t xml:space="preserve">Unsloth, "Qwen3.8: How to fine-tune," Unsloth documentation, 2026. </w:t>
      </w:r>
      <w:r>
        <w:t xml:space="preserve">[Online]. Available: </w:t>
      </w:r>
      <w:hyperlink r:id="rId27">
        <w:r>
          <w:rPr>
            <w:color w:val="0563C1"/>
            <w:u w:val="single"/>
          </w:rPr>
          <w:t xml:space="preserve">https://unsloth.ai/docs/models/qwen3.8/train</w:t>
        </w:r>
      </w:hyperlink>
      <w:r>
        <w:t xml:space="preserve"> (accessed Oct. 17, 2026).</w:t>
      </w:r>
      <w:bookmarkEnd w:id="906"/>
    </w:p>
    <w:p>
      <w:pPr>
        <w:pStyle w:val="Reference"/>
        <w:tabs>
          <w:tab w:val="clear" w:pos="426"/>
          <w:tab w:val="num" w:pos="567"/>
        </w:tabs>
        <w:ind w:left="567" w:hanging="567"/>
        <w:jc w:val="left"/>
      </w:pPr>
      <w:bookmarkStart w:id="907" w:name="_RefAnneal7"/>
      <w:r>
        <w:t xml:space="preserve">D. Biderman </w:t>
      </w:r>
      <w:r>
        <w:rPr>
          <w:i/>
        </w:rPr>
        <w:t xml:space="preserve">et al.</w:t>
      </w:r>
      <w:r>
        <w:t xml:space="preserve">, "LoRA learns less and forgets less," </w:t>
      </w:r>
      <w:r>
        <w:rPr>
          <w:i/>
        </w:rPr>
        <w:t xml:space="preserve">Trans. Machine Learning Research</w:t>
      </w:r>
      <w:r>
        <w:t xml:space="preserve">, Aug. 2024. </w:t>
      </w:r>
      <w:r>
        <w:t xml:space="preserve">[Online]. Available: </w:t>
      </w:r>
      <w:hyperlink r:id="rId28">
        <w:r>
          <w:rPr>
            <w:color w:val="0563C1"/>
            <w:u w:val="single"/>
          </w:rPr>
          <w:t xml:space="preserve">https://arxiv.org/abs/2405.09673</w:t>
        </w:r>
      </w:hyperlink>
      <w:bookmarkEnd w:id="907"/>
    </w:p>
    <w:p>
      <w:pPr>
        <w:pStyle w:val="Reference"/>
        <w:tabs>
          <w:tab w:val="clear" w:pos="426"/>
          <w:tab w:val="num" w:pos="567"/>
        </w:tabs>
        <w:ind w:left="567" w:hanging="567"/>
        <w:jc w:val="left"/>
      </w:pPr>
      <w:bookmarkStart w:id="908" w:name="_RefAnneal8"/>
      <w:r>
        <w:t xml:space="preserve">Y. Chen </w:t>
      </w:r>
      <w:r>
        <w:rPr>
          <w:i/>
        </w:rPr>
        <w:t xml:space="preserve">et al.</w:t>
      </w:r>
      <w:r>
        <w:t xml:space="preserve">, "LongLoRA: Efficient fine-tuning of long-context large language models," in </w:t>
      </w:r>
      <w:r>
        <w:rPr>
          <w:i/>
        </w:rPr>
        <w:t xml:space="preserve">Proc. Int. Conf. Learning Representations (ICLR)</w:t>
      </w:r>
      <w:r>
        <w:t xml:space="preserve">, 2024. </w:t>
      </w:r>
      <w:r>
        <w:t xml:space="preserve">[Online]. Available: </w:t>
      </w:r>
      <w:hyperlink r:id="rId29">
        <w:r>
          <w:rPr>
            <w:color w:val="0563C1"/>
            <w:u w:val="single"/>
          </w:rPr>
          <w:t xml:space="preserve">https://arxiv.org/abs/2309.12307</w:t>
        </w:r>
      </w:hyperlink>
      <w:bookmarkEnd w:id="908"/>
    </w:p>
    <w:p>
      <w:pPr>
        <w:pStyle w:val="Reference"/>
        <w:tabs>
          <w:tab w:val="clear" w:pos="426"/>
          <w:tab w:val="num" w:pos="567"/>
        </w:tabs>
        <w:ind w:left="567" w:hanging="567"/>
        <w:jc w:val="left"/>
      </w:pPr>
      <w:bookmarkStart w:id="909" w:name="_RefAnneal9"/>
      <w:r>
        <w:t xml:space="preserve">C. E. Jimenez </w:t>
      </w:r>
      <w:r>
        <w:rPr>
          <w:i/>
        </w:rPr>
        <w:t xml:space="preserve">et al.</w:t>
      </w:r>
      <w:r>
        <w:t xml:space="preserve">, "SWE-bench: Can language models resolve real-world GitHub issues?" in </w:t>
      </w:r>
      <w:r>
        <w:rPr>
          <w:i/>
        </w:rPr>
        <w:t xml:space="preserve">Proc. Int. Conf. Learning Representations (ICLR)</w:t>
      </w:r>
      <w:r>
        <w:t xml:space="preserve">, 2024. </w:t>
      </w:r>
      <w:r>
        <w:t xml:space="preserve">[Online]. Available: </w:t>
      </w:r>
      <w:hyperlink r:id="rId30">
        <w:r>
          <w:rPr>
            <w:color w:val="0563C1"/>
            <w:u w:val="single"/>
          </w:rPr>
          <w:t xml:space="preserve">https://arxiv.org/abs/2310.06770</w:t>
        </w:r>
      </w:hyperlink>
      <w:bookmarkEnd w:id="909"/>
    </w:p>
    <w:p>
      <w:pPr>
        <w:pStyle w:val="Reference"/>
        <w:tabs>
          <w:tab w:val="clear" w:pos="426"/>
          <w:tab w:val="num" w:pos="567"/>
        </w:tabs>
        <w:ind w:left="567" w:hanging="567"/>
        <w:jc w:val="left"/>
      </w:pPr>
      <w:bookmarkStart w:id="910" w:name="_RefAnneal10"/>
      <w:r>
        <w:t xml:space="preserve">N. Chowdhury </w:t>
      </w:r>
      <w:r>
        <w:rPr>
          <w:i/>
        </w:rPr>
        <w:t xml:space="preserve">et al.</w:t>
      </w:r>
      <w:r>
        <w:t xml:space="preserve">, "Introducing SWE-bench Verified," OpenAI, Aug. 13, 2024. </w:t>
      </w:r>
      <w:r>
        <w:t xml:space="preserve">[Online]. Available: </w:t>
      </w:r>
      <w:hyperlink r:id="rId31">
        <w:r>
          <w:rPr>
            <w:color w:val="0563C1"/>
            <w:u w:val="single"/>
          </w:rPr>
          <w:t xml:space="preserve">https://openai.com/index/introducing-swe-bench-verified/</w:t>
        </w:r>
      </w:hyperlink>
      <w:r>
        <w:t xml:space="preserve"> (accessed Oct. 17, 2026).</w:t>
      </w:r>
      <w:bookmarkEnd w:id="910"/>
    </w:p>
    <w:p>
      <w:pPr>
        <w:pStyle w:val="Reference"/>
        <w:tabs>
          <w:tab w:val="clear" w:pos="426"/>
          <w:tab w:val="num" w:pos="567"/>
        </w:tabs>
        <w:ind w:left="567" w:hanging="567"/>
        <w:jc w:val="left"/>
      </w:pPr>
      <w:bookmarkStart w:id="911" w:name="_RefAnneal11"/>
      <w:r>
        <w:t xml:space="preserve">D. Han, M. Han, and Unsloth team, "Unsloth," GitHub repository, 2023. </w:t>
      </w:r>
      <w:r>
        <w:t xml:space="preserve">[Online]. Available: </w:t>
      </w:r>
      <w:hyperlink r:id="rId32">
        <w:r>
          <w:rPr>
            <w:color w:val="0563C1"/>
            <w:u w:val="single"/>
          </w:rPr>
          <w:t xml:space="preserve">https://github.com/unslothai/unsloth</w:t>
        </w:r>
      </w:hyperlink>
      <w:r>
        <w:t xml:space="preserve"> (accessed Oct. 17, 2026).</w:t>
      </w:r>
      <w:bookmarkEnd w:id="911"/>
    </w:p>
    <w:p>
      <w:pPr>
        <w:pStyle w:val="Reference"/>
        <w:tabs>
          <w:tab w:val="clear" w:pos="426"/>
          <w:tab w:val="num" w:pos="567"/>
        </w:tabs>
        <w:ind w:left="567" w:hanging="567"/>
        <w:jc w:val="left"/>
      </w:pPr>
      <w:bookmarkStart w:id="912" w:name="_RefAnneal12"/>
      <w:r>
        <w:t xml:space="preserve">AMD, "Compatibility matrix," ROCm Documentation, 2026. </w:t>
      </w:r>
      <w:r>
        <w:t xml:space="preserve">[Online]. Available: </w:t>
      </w:r>
      <w:hyperlink r:id="rId33">
        <w:r>
          <w:rPr>
            <w:color w:val="0563C1"/>
            <w:u w:val="single"/>
          </w:rPr>
          <w:t xml:space="preserve">https://rocm.docs.amd.com/en/latest/compatibility/compatibility-matrix.html</w:t>
        </w:r>
      </w:hyperlink>
      <w:r>
        <w:t xml:space="preserve"> (accessed Oct. 17, 2026).</w:t>
      </w:r>
      <w:bookmarkEnd w:id="912"/>
    </w:p>
    <w:p>
      <w:pPr>
        <w:pStyle w:val="Reference"/>
        <w:tabs>
          <w:tab w:val="clear" w:pos="426"/>
          <w:tab w:val="num" w:pos="567"/>
        </w:tabs>
        <w:ind w:left="567" w:hanging="567"/>
        <w:jc w:val="left"/>
      </w:pPr>
      <w:bookmarkStart w:id="913" w:name="_RefAnneal13"/>
      <w:r>
        <w:t xml:space="preserve">bitsandbytes Foundation, "Installation guide, v0.50.2," Hugging Face documentation, Aug. 2026. </w:t>
      </w:r>
      <w:r>
        <w:t xml:space="preserve">[Online]. Available: </w:t>
      </w:r>
      <w:hyperlink r:id="rId34">
        <w:r>
          <w:rPr>
            <w:color w:val="0563C1"/>
            <w:u w:val="single"/>
          </w:rPr>
          <w:t xml:space="preserve">https://huggingface.co/docs/bitsandbytes/v0.50.2/installation</w:t>
        </w:r>
      </w:hyperlink>
      <w:r>
        <w:t xml:space="preserve"> (accessed Oct. 17, 2026).</w:t>
      </w:r>
      <w:bookmarkEnd w:id="913"/>
    </w:p>
    <w:p>
      <w:pPr>
        <w:pStyle w:val="Reference"/>
        <w:tabs>
          <w:tab w:val="clear" w:pos="426"/>
          <w:tab w:val="num" w:pos="567"/>
        </w:tabs>
        <w:ind w:left="567" w:hanging="567"/>
        <w:jc w:val="left"/>
      </w:pPr>
      <w:bookmarkStart w:id="914" w:name="_RefAnneal14"/>
      <w:r>
        <w:t xml:space="preserve">S. Mangrulkar, S. Gugger, L. Debut, Y. Belkada, S. Paul, and B. Bossan, "PEFT: State-of-the-art parameter-efficient fine-tuning methods," GitHub repository, 2022. </w:t>
      </w:r>
      <w:r>
        <w:t xml:space="preserve">[Online]. Available: </w:t>
      </w:r>
      <w:hyperlink r:id="rId35">
        <w:r>
          <w:rPr>
            <w:color w:val="0563C1"/>
            <w:u w:val="single"/>
          </w:rPr>
          <w:t xml:space="preserve">https://github.com/huggingface/peft</w:t>
        </w:r>
      </w:hyperlink>
      <w:r>
        <w:t xml:space="preserve"> (accessed Oct. 17, 2026).</w:t>
      </w:r>
      <w:bookmarkEnd w:id="914"/>
    </w:p>
    <w:p>
      <w:pPr>
        <w:pStyle w:val="Reference"/>
        <w:tabs>
          <w:tab w:val="clear" w:pos="426"/>
          <w:tab w:val="num" w:pos="567"/>
        </w:tabs>
        <w:ind w:left="567" w:hanging="567"/>
        <w:jc w:val="left"/>
      </w:pPr>
      <w:bookmarkStart w:id="915" w:name="_RefAnneal15"/>
      <w:r>
        <w:t xml:space="preserve">G. Gerganov </w:t>
      </w:r>
      <w:r>
        <w:rPr>
          <w:i/>
        </w:rPr>
        <w:t xml:space="preserve">et al.</w:t>
      </w:r>
      <w:r>
        <w:t xml:space="preserve">, "llama.cpp: LLM inference in C/C++," GitHub repository. </w:t>
      </w:r>
      <w:r>
        <w:t xml:space="preserve">[Online]. Available: </w:t>
      </w:r>
      <w:hyperlink r:id="rId36">
        <w:r>
          <w:rPr>
            <w:color w:val="0563C1"/>
            <w:u w:val="single"/>
          </w:rPr>
          <w:t xml:space="preserve">https://github.com/ggml-org/llama.cpp</w:t>
        </w:r>
      </w:hyperlink>
      <w:r>
        <w:t xml:space="preserve"> (accessed Oct. 17, 2026).</w:t>
      </w:r>
      <w:bookmarkEnd w:id="915"/>
    </w:p>
    <w:p>
      <w:pPr>
        <w:pStyle w:val="Reference"/>
        <w:tabs>
          <w:tab w:val="clear" w:pos="426"/>
          <w:tab w:val="num" w:pos="567"/>
        </w:tabs>
        <w:ind w:left="567" w:hanging="567"/>
        <w:jc w:val="left"/>
      </w:pPr>
      <w:bookmarkStart w:id="916" w:name="_RefAnneal16"/>
      <w:r>
        <w:t xml:space="preserve">J. Liu, C. S. Xia, Y. Wang, and L. Zhang, "Is your code generated by ChatGPT really correct? Rigorous evaluation of large language models for code generation," in </w:t>
      </w:r>
      <w:r>
        <w:rPr>
          <w:i/>
        </w:rPr>
        <w:t xml:space="preserve">Advances in Neural Information Processing Systems (NeurIPS)</w:t>
      </w:r>
      <w:r>
        <w:t xml:space="preserve">, vol. 36, 2023. </w:t>
      </w:r>
      <w:r>
        <w:t xml:space="preserve">[Online]. Available: </w:t>
      </w:r>
      <w:hyperlink r:id="rId37">
        <w:r>
          <w:rPr>
            <w:color w:val="0563C1"/>
            <w:u w:val="single"/>
          </w:rPr>
          <w:t xml:space="preserve">https://arxiv.org/abs/2305.01210</w:t>
        </w:r>
      </w:hyperlink>
      <w:bookmarkEnd w:id="916"/>
    </w:p>
    <w:p>
      <w:pPr>
        <w:pStyle w:val="Reference"/>
        <w:tabs>
          <w:tab w:val="clear" w:pos="426"/>
          <w:tab w:val="num" w:pos="567"/>
        </w:tabs>
        <w:ind w:left="567" w:hanging="567"/>
        <w:jc w:val="left"/>
      </w:pPr>
      <w:bookmarkStart w:id="917" w:name="_RefAnneal17"/>
      <w:r>
        <w:t xml:space="preserve">N. Jain </w:t>
      </w:r>
      <w:r>
        <w:rPr>
          <w:i/>
        </w:rPr>
        <w:t xml:space="preserve">et al.</w:t>
      </w:r>
      <w:r>
        <w:t xml:space="preserve">, "LiveCodeBench: Holistic and contamination free evaluation of large language models for code," in </w:t>
      </w:r>
      <w:r>
        <w:rPr>
          <w:i/>
        </w:rPr>
        <w:t xml:space="preserve">Proc. Int. Conf. Learning Representations (ICLR)</w:t>
      </w:r>
      <w:r>
        <w:t xml:space="preserve">, 2025, pp. 58791-58831. </w:t>
      </w:r>
      <w:r>
        <w:t xml:space="preserve">[Online]. Available: </w:t>
      </w:r>
      <w:hyperlink r:id="rId38">
        <w:r>
          <w:rPr>
            <w:color w:val="0563C1"/>
            <w:u w:val="single"/>
          </w:rPr>
          <w:t xml:space="preserve">https://arxiv.org/abs/2403.07974</w:t>
        </w:r>
      </w:hyperlink>
      <w:bookmarkEnd w:id="917"/>
    </w:p>
    <w:p>
      <w:pPr>
        <w:pStyle w:val="Reference"/>
        <w:tabs>
          <w:tab w:val="clear" w:pos="426"/>
          <w:tab w:val="num" w:pos="567"/>
        </w:tabs>
        <w:ind w:left="567" w:hanging="567"/>
        <w:jc w:val="left"/>
      </w:pPr>
      <w:bookmarkStart w:id="918" w:name="_RefAnneal18"/>
      <w:r>
        <w:t xml:space="preserve">S. Rando </w:t>
      </w:r>
      <w:r>
        <w:rPr>
          <w:i/>
        </w:rPr>
        <w:t xml:space="preserve">et al.</w:t>
      </w:r>
      <w:r>
        <w:t xml:space="preserve">, "LongCodeBench: Evaluating coding LLMs at 1M context windows," arXiv preprint arXiv:2505.07897, 2025. </w:t>
      </w:r>
      <w:r>
        <w:t xml:space="preserve">[Online]. Available: </w:t>
      </w:r>
      <w:hyperlink r:id="rId39">
        <w:r>
          <w:rPr>
            <w:color w:val="0563C1"/>
            <w:u w:val="single"/>
          </w:rPr>
          <w:t xml:space="preserve">https://arxiv.org/abs/2505.07897</w:t>
        </w:r>
      </w:hyperlink>
      <w:bookmarkEnd w:id="918"/>
    </w:p>
    <w:p>
      <w:pPr>
        <w:pStyle w:val="Reference"/>
        <w:tabs>
          <w:tab w:val="clear" w:pos="426"/>
          <w:tab w:val="num" w:pos="567"/>
        </w:tabs>
        <w:ind w:left="567" w:hanging="567"/>
        <w:jc w:val="left"/>
      </w:pPr>
      <w:bookmarkStart w:id="919" w:name="_RefAnneal19"/>
      <w:r>
        <w:t xml:space="preserve">J. Liu </w:t>
      </w:r>
      <w:r>
        <w:rPr>
          <w:i/>
        </w:rPr>
        <w:t xml:space="preserve">et al.</w:t>
      </w:r>
      <w:r>
        <w:t xml:space="preserve">, "RepoQA: Evaluating long context code understanding," in </w:t>
      </w:r>
      <w:r>
        <w:rPr>
          <w:i/>
        </w:rPr>
        <w:t xml:space="preserve">ICML Workshop on Long-Context Foundation Models</w:t>
      </w:r>
      <w:r>
        <w:t xml:space="preserve">, 2024. </w:t>
      </w:r>
      <w:r>
        <w:t xml:space="preserve">[Online]. Available: </w:t>
      </w:r>
      <w:hyperlink r:id="rId40">
        <w:r>
          <w:rPr>
            <w:color w:val="0563C1"/>
            <w:u w:val="single"/>
          </w:rPr>
          <w:t xml:space="preserve">https://arxiv.org/abs/2406.06025</w:t>
        </w:r>
      </w:hyperlink>
      <w:bookmarkEnd w:id="919"/>
    </w:p>
    <w:p>
      <w:pPr>
        <w:pStyle w:val="Reference"/>
        <w:tabs>
          <w:tab w:val="clear" w:pos="426"/>
          <w:tab w:val="num" w:pos="567"/>
        </w:tabs>
        <w:ind w:left="567" w:hanging="567"/>
        <w:jc w:val="left"/>
      </w:pPr>
      <w:bookmarkStart w:id="920" w:name="_RefAnneal20"/>
      <w:r>
        <w:t xml:space="preserve">NVIDIA, "Open-SWE-Traces," Hugging Face dataset card, 2026. </w:t>
      </w:r>
      <w:r>
        <w:t xml:space="preserve">[Online]. Available: </w:t>
      </w:r>
      <w:hyperlink r:id="rId41">
        <w:r>
          <w:rPr>
            <w:color w:val="0563C1"/>
            <w:u w:val="single"/>
          </w:rPr>
          <w:t xml:space="preserve">https://huggingface.co/datasets/nvidia/Open-SWE-Traces</w:t>
        </w:r>
      </w:hyperlink>
      <w:r>
        <w:t xml:space="preserve"> (accessed Oct. 21, 2026).</w:t>
      </w:r>
      <w:bookmarkEnd w:id="920"/>
    </w:p>
    <w:p>
      <w:pPr>
        <w:pStyle w:val="Reference"/>
        <w:tabs>
          <w:tab w:val="clear" w:pos="426"/>
          <w:tab w:val="num" w:pos="567"/>
        </w:tabs>
        <w:ind w:left="567" w:hanging="567"/>
        <w:jc w:val="left"/>
      </w:pPr>
      <w:bookmarkStart w:id="921" w:name="_RefAnneal21"/>
      <w:r>
        <w:t xml:space="preserve">Open Athena, "recursive-task-synthesis-glm-5.3-rollouts," Hugging Face dataset card, 2026. </w:t>
      </w:r>
      <w:r>
        <w:t xml:space="preserve">[Online]. Available: </w:t>
      </w:r>
      <w:hyperlink r:id="rId42">
        <w:r>
          <w:rPr>
            <w:color w:val="0563C1"/>
            <w:u w:val="single"/>
          </w:rPr>
          <w:t xml:space="preserve">https://huggingface.co/datasets/open-athena/recursive-task-synthesis-glm-5.3-rollouts</w:t>
        </w:r>
      </w:hyperlink>
      <w:r>
        <w:t xml:space="preserve"> (accessed Oct. 21, 2026).</w:t>
      </w:r>
      <w:bookmarkEnd w:id="921"/>
    </w:p>
    <w:p>
      <w:pPr>
        <w:pStyle w:val="Reference"/>
        <w:tabs>
          <w:tab w:val="clear" w:pos="426"/>
          <w:tab w:val="num" w:pos="567"/>
        </w:tabs>
        <w:ind w:left="567" w:hanging="567"/>
        <w:jc w:val="left"/>
      </w:pPr>
      <w:bookmarkStart w:id="922" w:name="_RefAnneal22"/>
      <w:r>
        <w:t xml:space="preserve">sequelbox, "Tachibana4-DeepSeek-V4-Pro," Hugging Face dataset card, 2026. </w:t>
      </w:r>
      <w:r>
        <w:t xml:space="preserve">[Online]. Available: </w:t>
      </w:r>
      <w:hyperlink r:id="rId43">
        <w:r>
          <w:rPr>
            <w:color w:val="0563C1"/>
            <w:u w:val="single"/>
          </w:rPr>
          <w:t xml:space="preserve">https://huggingface.co/datasets/sequelbox/Tachibana4-DeepSeek-V4-Pro</w:t>
        </w:r>
      </w:hyperlink>
      <w:r>
        <w:t xml:space="preserve"> (accessed Oct. 17, 2026).</w:t>
      </w:r>
      <w:bookmarkEnd w:id="922"/>
    </w:p>
    <w:p>
      <w:pPr>
        <w:pStyle w:val="Reference"/>
        <w:tabs>
          <w:tab w:val="clear" w:pos="426"/>
          <w:tab w:val="num" w:pos="567"/>
        </w:tabs>
        <w:ind w:left="567" w:hanging="567"/>
        <w:jc w:val="left"/>
      </w:pPr>
      <w:bookmarkStart w:id="923" w:name="_RefAnneal23"/>
      <w:r>
        <w:t xml:space="preserve">Banaxi-Tech, "Deepseek-V4-Reasoning-Code-2500," Hugging Face dataset card, 2026. </w:t>
      </w:r>
      <w:r>
        <w:t xml:space="preserve">[Online]. Available: </w:t>
      </w:r>
      <w:hyperlink r:id="rId44">
        <w:r>
          <w:rPr>
            <w:color w:val="0563C1"/>
            <w:u w:val="single"/>
          </w:rPr>
          <w:t xml:space="preserve">https://huggingface.co/datasets/Banaxi-Tech/Deepseek-V4-Reasoning-Code-2500</w:t>
        </w:r>
      </w:hyperlink>
      <w:r>
        <w:t xml:space="preserve"> (accessed Oct. 17, 2026).</w:t>
      </w:r>
      <w:bookmarkEnd w:id="923"/>
    </w:p>
    <w:p>
      <w:pPr>
        <w:pStyle w:val="Reference"/>
        <w:tabs>
          <w:tab w:val="clear" w:pos="426"/>
          <w:tab w:val="num" w:pos="567"/>
        </w:tabs>
        <w:ind w:left="567" w:hanging="567"/>
        <w:jc w:val="left"/>
      </w:pPr>
      <w:bookmarkStart w:id="924" w:name="_RefAnneal24"/>
      <w:r>
        <w:t xml:space="preserve">W. U. Ahmad </w:t>
      </w:r>
      <w:r>
        <w:rPr>
          <w:i/>
        </w:rPr>
        <w:t xml:space="preserve">et al.</w:t>
      </w:r>
      <w:r>
        <w:t xml:space="preserve">, "OpenCodeReasoning: Advancing data distillation for competitive coding," arXiv preprint arXiv:2504.01943, 2025. </w:t>
      </w:r>
      <w:r>
        <w:t xml:space="preserve">[Online]. Available: </w:t>
      </w:r>
      <w:hyperlink r:id="rId45">
        <w:r>
          <w:rPr>
            <w:color w:val="0563C1"/>
            <w:u w:val="single"/>
          </w:rPr>
          <w:t xml:space="preserve">https://arxiv.org/abs/2504.01943</w:t>
        </w:r>
      </w:hyperlink>
      <w:bookmarkEnd w:id="924"/>
    </w:p>
    <w:p>
      <w:pPr>
        <w:pStyle w:val="Reference"/>
        <w:tabs>
          <w:tab w:val="clear" w:pos="426"/>
          <w:tab w:val="num" w:pos="567"/>
        </w:tabs>
        <w:ind w:left="567" w:hanging="567"/>
        <w:jc w:val="left"/>
      </w:pPr>
      <w:bookmarkStart w:id="925" w:name="_RefAnneal25"/>
      <w:r>
        <w:t xml:space="preserve">J. Pan </w:t>
      </w:r>
      <w:r>
        <w:rPr>
          <w:i/>
        </w:rPr>
        <w:t xml:space="preserve">et al.</w:t>
      </w:r>
      <w:r>
        <w:t xml:space="preserve">, "Training software engineering agents and verifiers with SWE-Gym," in </w:t>
      </w:r>
      <w:r>
        <w:rPr>
          <w:i/>
        </w:rPr>
        <w:t xml:space="preserve">Proc. 42nd Int. Conf. Machine Learning (ICML)</w:t>
      </w:r>
      <w:r>
        <w:t xml:space="preserve">, PMLR vol. 267, 2025, pp. 47717-47737. </w:t>
      </w:r>
      <w:r>
        <w:t xml:space="preserve">[Online]. Available: </w:t>
      </w:r>
      <w:hyperlink r:id="rId46">
        <w:r>
          <w:rPr>
            <w:color w:val="0563C1"/>
            <w:u w:val="single"/>
          </w:rPr>
          <w:t xml:space="preserve">https://proceedings.mlr.press/v267/pan25g.html</w:t>
        </w:r>
      </w:hyperlink>
      <w:bookmarkEnd w:id="925"/>
    </w:p>
    <w:p>
      <w:pPr>
        <w:pStyle w:val="Reference"/>
        <w:tabs>
          <w:tab w:val="clear" w:pos="426"/>
          <w:tab w:val="num" w:pos="567"/>
        </w:tabs>
        <w:ind w:left="567" w:hanging="567"/>
        <w:jc w:val="left"/>
      </w:pPr>
      <w:bookmarkStart w:id="926" w:name="_RefAnneal26"/>
      <w:r>
        <w:t xml:space="preserve">E. Wijmans, B. Huval, A. Hertzberg, V. Koltun, and P. Krähenbühl, "Cut your losses in large-vocabulary language models," in </w:t>
      </w:r>
      <w:r>
        <w:rPr>
          <w:i/>
        </w:rPr>
        <w:t xml:space="preserve">Proc. Int. Conf. Learning Representations (ICLR)</w:t>
      </w:r>
      <w:r>
        <w:t xml:space="preserve">, 2025. </w:t>
      </w:r>
      <w:r>
        <w:t xml:space="preserve">[Online]. Available: </w:t>
      </w:r>
      <w:hyperlink r:id="rId47">
        <w:r>
          <w:rPr>
            <w:color w:val="0563C1"/>
            <w:u w:val="single"/>
          </w:rPr>
          <w:t xml:space="preserve">https://arxiv.org/abs/2411.09009</w:t>
        </w:r>
      </w:hyperlink>
      <w:bookmarkEnd w:id="926"/>
    </w:p>
    <w:p>
      <w:pPr>
        <w:pStyle w:val="Reference"/>
        <w:tabs>
          <w:tab w:val="clear" w:pos="426"/>
          <w:tab w:val="num" w:pos="567"/>
        </w:tabs>
        <w:ind w:left="567" w:hanging="567"/>
        <w:jc w:val="left"/>
      </w:pPr>
      <w:bookmarkStart w:id="927" w:name="_RefAnneal27"/>
      <w:r>
        <w:t xml:space="preserve">Vals AI, "LiveCodeBench leaderboard," 2026. </w:t>
      </w:r>
      <w:r>
        <w:t xml:space="preserve">[Online]. Available: </w:t>
      </w:r>
      <w:hyperlink r:id="rId48">
        <w:r>
          <w:rPr>
            <w:color w:val="0563C1"/>
            <w:u w:val="single"/>
          </w:rPr>
          <w:t xml:space="preserve">https://www.vals.ai/benchmarks/lcb</w:t>
        </w:r>
      </w:hyperlink>
      <w:r>
        <w:t xml:space="preserve"> (accessed Oct. 21, 2026).</w:t>
      </w:r>
      <w:bookmarkEnd w:id="927"/>
    </w:p>
    <w:p>
      <w:pPr>
        <w:pStyle w:val="Reference"/>
        <w:tabs>
          <w:tab w:val="clear" w:pos="426"/>
          <w:tab w:val="num" w:pos="567"/>
        </w:tabs>
        <w:ind w:left="567" w:hanging="567"/>
        <w:jc w:val="left"/>
      </w:pPr>
      <w:bookmarkStart w:id="928" w:name="_RefAnneal28"/>
      <w:r>
        <w:t xml:space="preserve">Vals AI, "SWE-bench Verified leaderboard," 2026. </w:t>
      </w:r>
      <w:r>
        <w:t xml:space="preserve">[Online]. Available: </w:t>
      </w:r>
      <w:hyperlink r:id="rId49">
        <w:r>
          <w:rPr>
            <w:color w:val="0563C1"/>
            <w:u w:val="single"/>
          </w:rPr>
          <w:t xml:space="preserve">https://www.vals.ai/benchmarks/swebench</w:t>
        </w:r>
      </w:hyperlink>
      <w:r>
        <w:t xml:space="preserve"> (accessed Oct. 21, 2026).</w:t>
      </w:r>
      <w:bookmarkEnd w:id="928"/>
    </w:p>
    <w:p>
      <w:pPr>
        <w:pStyle w:val="Reference"/>
        <w:tabs>
          <w:tab w:val="clear" w:pos="426"/>
          <w:tab w:val="num" w:pos="567"/>
        </w:tabs>
        <w:ind w:left="567" w:hanging="567"/>
        <w:jc w:val="left"/>
      </w:pPr>
      <w:bookmarkStart w:id="929" w:name="_RefAnneal29"/>
      <w:r>
        <w:t xml:space="preserve">Vals AI, "Terminal-Bench 2.1 leaderboard," 2026. </w:t>
      </w:r>
      <w:r>
        <w:t xml:space="preserve">[Online]. Available: </w:t>
      </w:r>
      <w:hyperlink r:id="rId50">
        <w:r>
          <w:rPr>
            <w:color w:val="0563C1"/>
            <w:u w:val="single"/>
          </w:rPr>
          <w:t xml:space="preserve">https://www.vals.ai/benchmarks/terminal-bench-2-1</w:t>
        </w:r>
      </w:hyperlink>
      <w:r>
        <w:t xml:space="preserve"> (accessed Oct. 21, 2026).</w:t>
      </w:r>
      <w:bookmarkEnd w:id="929"/>
    </w:p>
    <w:p>
      <w:pPr>
        <w:pStyle w:val="Reference"/>
        <w:tabs>
          <w:tab w:val="clear" w:pos="426"/>
          <w:tab w:val="num" w:pos="567"/>
        </w:tabs>
        <w:ind w:left="567" w:hanging="567"/>
        <w:jc w:val="left"/>
      </w:pPr>
      <w:bookmarkStart w:id="930" w:name="_RefAnneal30"/>
      <w:r>
        <w:t xml:space="preserve">Z. Yuan </w:t>
      </w:r>
      <w:r>
        <w:rPr>
          <w:i/>
        </w:rPr>
        <w:t xml:space="preserve">et al.</w:t>
      </w:r>
      <w:r>
        <w:t xml:space="preserve">, "Scaling relationship on learning mathematical reasoning with large language models," arXiv preprint arXiv:2308.01825, 2023. </w:t>
      </w:r>
      <w:r>
        <w:t xml:space="preserve">[Online]. Available: </w:t>
      </w:r>
      <w:hyperlink r:id="rId51">
        <w:r>
          <w:rPr>
            <w:color w:val="0563C1"/>
            <w:u w:val="single"/>
          </w:rPr>
          <w:t xml:space="preserve">https://arxiv.org/abs/2308.01825</w:t>
        </w:r>
      </w:hyperlink>
      <w:bookmarkEnd w:id="930"/>
    </w:p>
    <w:p>
      <w:pPr>
        <w:pStyle w:val="Reference"/>
        <w:tabs>
          <w:tab w:val="clear" w:pos="426"/>
          <w:tab w:val="num" w:pos="567"/>
        </w:tabs>
        <w:ind w:left="567" w:hanging="567"/>
        <w:jc w:val="left"/>
      </w:pPr>
      <w:bookmarkStart w:id="931" w:name="_RefAnneal31"/>
      <w:r>
        <w:t xml:space="preserve">NVIDIA, "Nemotron-SFT-Math-v4," Hugging Face dataset card, 2026. </w:t>
      </w:r>
      <w:r>
        <w:t xml:space="preserve">[Online]. Available: </w:t>
      </w:r>
      <w:hyperlink r:id="rId52">
        <w:r>
          <w:rPr>
            <w:color w:val="0563C1"/>
            <w:u w:val="single"/>
          </w:rPr>
          <w:t xml:space="preserve">https://huggingface.co/datasets/nvidia/Nemotron-SFT-Math-v4</w:t>
        </w:r>
      </w:hyperlink>
      <w:r>
        <w:t xml:space="preserve"> (accessed Oct. 17, 2026).</w:t>
      </w:r>
      <w:bookmarkEnd w:id="931"/>
    </w:p>
    <w:p>
      <w:pPr>
        <w:pStyle w:val="Reference"/>
        <w:tabs>
          <w:tab w:val="clear" w:pos="426"/>
          <w:tab w:val="num" w:pos="567"/>
        </w:tabs>
        <w:ind w:left="567" w:hanging="567"/>
        <w:jc w:val="left"/>
      </w:pPr>
      <w:bookmarkStart w:id="932" w:name="_RefAnneal32"/>
      <w:r>
        <w:t xml:space="preserve">S. Yang, W.-L. Chiang, L. Zheng, J. E. Gonzalez, and I. Stoica, "Rethinking benchmark and contamination for language models with rephrased samples," arXiv preprint arXiv:2311.04850, 2023. </w:t>
      </w:r>
      <w:r>
        <w:t xml:space="preserve">[Online]. Available: </w:t>
      </w:r>
      <w:hyperlink r:id="rId53">
        <w:r>
          <w:rPr>
            <w:color w:val="0563C1"/>
            <w:u w:val="single"/>
          </w:rPr>
          <w:t xml:space="preserve">https://arxiv.org/abs/2311.04850</w:t>
        </w:r>
      </w:hyperlink>
      <w:bookmarkEnd w:id="932"/>
    </w:p>
    <w:p>
      <w:pPr>
        <w:pStyle w:val="Reference"/>
        <w:tabs>
          <w:tab w:val="clear" w:pos="426"/>
          <w:tab w:val="num" w:pos="567"/>
        </w:tabs>
        <w:ind w:left="567" w:hanging="567"/>
        <w:jc w:val="left"/>
      </w:pPr>
      <w:bookmarkStart w:id="933" w:name="_RefAnneal33"/>
      <w:r>
        <w:t xml:space="preserve">W. U. Ahmad </w:t>
      </w:r>
      <w:r>
        <w:rPr>
          <w:i/>
        </w:rPr>
        <w:t xml:space="preserve">et al.</w:t>
      </w:r>
      <w:r>
        <w:t xml:space="preserve">, "OpenCodeInstruct: A large-scale instruction tuning dataset for code LLMs," arXiv preprint arXiv:2504.04030, 2025. </w:t>
      </w:r>
      <w:r>
        <w:t xml:space="preserve">[Online]. Available: </w:t>
      </w:r>
      <w:hyperlink r:id="rId54">
        <w:r>
          <w:rPr>
            <w:color w:val="0563C1"/>
            <w:u w:val="single"/>
          </w:rPr>
          <w:t xml:space="preserve">https://arxiv.org/abs/2504.04030</w:t>
        </w:r>
      </w:hyperlink>
      <w:bookmarkEnd w:id="933"/>
    </w:p>
    <w:p>
      <w:pPr>
        <w:pStyle w:val="Reference"/>
        <w:tabs>
          <w:tab w:val="clear" w:pos="426"/>
          <w:tab w:val="num" w:pos="567"/>
        </w:tabs>
        <w:ind w:left="567" w:hanging="567"/>
        <w:jc w:val="left"/>
      </w:pPr>
      <w:bookmarkStart w:id="934" w:name="_RefAnneal34"/>
      <w:r>
        <w:t xml:space="preserve">A. Singh </w:t>
      </w:r>
      <w:r>
        <w:rPr>
          <w:i/>
        </w:rPr>
        <w:t xml:space="preserve">et al.</w:t>
      </w:r>
      <w:r>
        <w:t xml:space="preserve">, "Beyond human data: Scaling self-training for problem-solving with language models," arXiv preprint arXiv:2312.06585, 2023. </w:t>
      </w:r>
      <w:r>
        <w:t xml:space="preserve">[Online]. Available: </w:t>
      </w:r>
      <w:hyperlink r:id="rId55">
        <w:r>
          <w:rPr>
            <w:color w:val="0563C1"/>
            <w:u w:val="single"/>
          </w:rPr>
          <w:t xml:space="preserve">https://arxiv.org/abs/2312.06585</w:t>
        </w:r>
      </w:hyperlink>
      <w:bookmarkEnd w:id="934"/>
    </w:p>
    <w:p>
      <w:pPr>
        <w:pStyle w:val="Reference"/>
        <w:tabs>
          <w:tab w:val="clear" w:pos="426"/>
          <w:tab w:val="num" w:pos="567"/>
        </w:tabs>
        <w:ind w:left="567" w:hanging="567"/>
        <w:jc w:val="left"/>
      </w:pPr>
      <w:bookmarkStart w:id="935" w:name="_RefAnneal35"/>
      <w:r>
        <w:t xml:space="preserve">DeepSeek-AI, "DeepSeek-R1-0528," Hugging Face model card, 2025. </w:t>
      </w:r>
      <w:r>
        <w:t xml:space="preserve">[Online]. Available: </w:t>
      </w:r>
      <w:hyperlink r:id="rId56">
        <w:r>
          <w:rPr>
            <w:color w:val="0563C1"/>
            <w:u w:val="single"/>
          </w:rPr>
          <w:t xml:space="preserve">https://huggingface.co/deepseek-ai/DeepSeek-R1-0528</w:t>
        </w:r>
      </w:hyperlink>
      <w:r>
        <w:t xml:space="preserve"> (accessed Oct. 17, 2026).</w:t>
      </w:r>
      <w:bookmarkEnd w:id="935"/>
    </w:p>
    <w:p>
      <w:pPr>
        <w:pStyle w:val="Reference"/>
        <w:tabs>
          <w:tab w:val="clear" w:pos="426"/>
          <w:tab w:val="num" w:pos="567"/>
        </w:tabs>
        <w:ind w:left="567" w:hanging="567"/>
        <w:jc w:val="left"/>
      </w:pPr>
      <w:bookmarkStart w:id="936" w:name="_RefAnneal36"/>
      <w:r>
        <w:t xml:space="preserve">A. Ibrahim </w:t>
      </w:r>
      <w:r>
        <w:rPr>
          <w:i/>
        </w:rPr>
        <w:t xml:space="preserve">et al.</w:t>
      </w:r>
      <w:r>
        <w:t xml:space="preserve">, "Simple and scalable strategies to continually pre-train large language models," </w:t>
      </w:r>
      <w:r>
        <w:rPr>
          <w:i/>
        </w:rPr>
        <w:t xml:space="preserve">Trans. Machine Learning Research</w:t>
      </w:r>
      <w:r>
        <w:t xml:space="preserve">, 2024. </w:t>
      </w:r>
      <w:r>
        <w:t xml:space="preserve">[Online]. Available: </w:t>
      </w:r>
      <w:hyperlink r:id="rId57">
        <w:r>
          <w:rPr>
            <w:color w:val="0563C1"/>
            <w:u w:val="single"/>
          </w:rPr>
          <w:t xml:space="preserve">https://arxiv.org/abs/2403.08763</w:t>
        </w:r>
      </w:hyperlink>
      <w:bookmarkEnd w:id="936"/>
    </w:p>
    <w:p>
      <w:pPr>
        <w:pStyle w:val="Reference"/>
        <w:tabs>
          <w:tab w:val="clear" w:pos="426"/>
          <w:tab w:val="num" w:pos="567"/>
        </w:tabs>
        <w:ind w:left="567" w:hanging="567"/>
        <w:jc w:val="left"/>
      </w:pPr>
      <w:bookmarkStart w:id="937" w:name="_RefAnneal37"/>
      <w:r>
        <w:t xml:space="preserve">Y. Li </w:t>
      </w:r>
      <w:r>
        <w:rPr>
          <w:i/>
        </w:rPr>
        <w:t xml:space="preserve">et al.</w:t>
      </w:r>
      <w:r>
        <w:t xml:space="preserve">, "Competition-level code generation with AlphaCode," </w:t>
      </w:r>
      <w:r>
        <w:rPr>
          <w:i/>
        </w:rPr>
        <w:t xml:space="preserve">Science</w:t>
      </w:r>
      <w:r>
        <w:t xml:space="preserve">, vol. 378, no. 6624, pp. 1092-1097, 2022. </w:t>
      </w:r>
      <w:r>
        <w:t xml:space="preserve">[Online]. Available: </w:t>
      </w:r>
      <w:hyperlink r:id="rId58">
        <w:r>
          <w:rPr>
            <w:color w:val="0563C1"/>
            <w:u w:val="single"/>
          </w:rPr>
          <w:t xml:space="preserve">https://arxiv.org/abs/2203.07814</w:t>
        </w:r>
      </w:hyperlink>
      <w:bookmarkEnd w:id="937"/>
    </w:p>
    <w:p>
      <w:pPr>
        <w:pStyle w:val="Reference"/>
        <w:tabs>
          <w:tab w:val="clear" w:pos="426"/>
          <w:tab w:val="num" w:pos="567"/>
        </w:tabs>
        <w:ind w:left="567" w:hanging="567"/>
        <w:jc w:val="left"/>
      </w:pPr>
      <w:bookmarkStart w:id="938" w:name="_RefAnneal38"/>
      <w:r>
        <w:t xml:space="preserve">Y. Wang </w:t>
      </w:r>
      <w:r>
        <w:rPr>
          <w:i/>
        </w:rPr>
        <w:t xml:space="preserve">et al.</w:t>
      </w:r>
      <w:r>
        <w:t xml:space="preserve">, "MMLU-Pro: A more robust and challenging multi-task language understanding benchmark," in </w:t>
      </w:r>
      <w:r>
        <w:rPr>
          <w:i/>
        </w:rPr>
        <w:t xml:space="preserve">Advances in Neural Information Processing Systems (NeurIPS)</w:t>
      </w:r>
      <w:r>
        <w:t xml:space="preserve">, vol. 37, 2024. </w:t>
      </w:r>
      <w:r>
        <w:t xml:space="preserve">[Online]. Available: </w:t>
      </w:r>
      <w:hyperlink r:id="rId59">
        <w:r>
          <w:rPr>
            <w:color w:val="0563C1"/>
            <w:u w:val="single"/>
          </w:rPr>
          <w:t xml:space="preserve">https://arxiv.org/abs/2406.01574</w:t>
        </w:r>
      </w:hyperlink>
      <w:bookmarkEnd w:id="938"/>
    </w:p>
    <w:p>
      <w:pPr>
        <w:pStyle w:val="Reference"/>
        <w:tabs>
          <w:tab w:val="clear" w:pos="426"/>
          <w:tab w:val="num" w:pos="567"/>
        </w:tabs>
        <w:ind w:left="567" w:hanging="567"/>
        <w:jc w:val="left"/>
      </w:pPr>
      <w:bookmarkStart w:id="939" w:name="_RefAnneal39"/>
      <w:r>
        <w:t xml:space="preserve">S. G. Patil </w:t>
      </w:r>
      <w:r>
        <w:rPr>
          <w:i/>
        </w:rPr>
        <w:t xml:space="preserve">et al.</w:t>
      </w:r>
      <w:r>
        <w:t xml:space="preserve">, "Berkeley Function Calling Leaderboard (bfcl-eval 2026.3.23)," GitHub repository, 2026. </w:t>
      </w:r>
      <w:r>
        <w:t xml:space="preserve">[Online]. Available: </w:t>
      </w:r>
      <w:hyperlink r:id="rId60">
        <w:r>
          <w:rPr>
            <w:color w:val="0563C1"/>
            <w:u w:val="single"/>
          </w:rPr>
          <w:t xml:space="preserve">https://github.com/ShishirPatil/gorilla</w:t>
        </w:r>
      </w:hyperlink>
      <w:r>
        <w:t xml:space="preserve"> (accessed Oct. 21, 2026).</w:t>
      </w:r>
      <w:bookmarkEnd w:id="939"/>
    </w:p>
    <w:p>
      <w:pPr>
        <w:pStyle w:val="Reference"/>
        <w:tabs>
          <w:tab w:val="clear" w:pos="426"/>
          <w:tab w:val="num" w:pos="567"/>
        </w:tabs>
        <w:ind w:left="567" w:hanging="567"/>
        <w:jc w:val="left"/>
      </w:pPr>
      <w:bookmarkStart w:id="940" w:name="_RefAnneal40"/>
      <w:r>
        <w:t xml:space="preserve">A. Hägele, E. Bakouch, A. Kosson, L. Ben Allal, L. Von Werra, and M. Jaggi, "Scaling laws and compute-optimal training beyond fixed training durations," arXiv preprint arXiv:2405.18392, 2024. </w:t>
      </w:r>
      <w:r>
        <w:t xml:space="preserve">[Online]. Available: </w:t>
      </w:r>
      <w:hyperlink r:id="rId61">
        <w:r>
          <w:rPr>
            <w:color w:val="0563C1"/>
            <w:u w:val="single"/>
          </w:rPr>
          <w:t xml:space="preserve">https://arxiv.org/abs/2405.18392</w:t>
        </w:r>
      </w:hyperlink>
      <w:bookmarkEnd w:id="940"/>
    </w:p>
    <w:sectPr w:rsidR="00794F1E" w:rsidSect="00EA465D">
      <w:footerReference w:type="default" r:id="rId18"/>
      <w:pgSz w:w="11906" w:h="16838"/>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C310F" w14:textId="77777777" w:rsidR="006A58D0" w:rsidRDefault="006A58D0">
      <w:r>
        <w:separator/>
      </w:r>
    </w:p>
  </w:endnote>
  <w:endnote w:type="continuationSeparator" w:id="0">
    <w:p w14:paraId="3E68BE1D" w14:textId="77777777" w:rsidR="006A58D0" w:rsidRDefault="006A5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0BFC" w14:textId="77777777" w:rsidR="00E84BF3" w:rsidRDefault="00E84BF3">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012438">
      <w:rPr>
        <w:rStyle w:val="PageNumber"/>
        <w:noProof/>
      </w:rPr>
      <w:t>5</w:t>
    </w:r>
    <w:r>
      <w:rPr>
        <w:rStyle w:val="PageNumber"/>
      </w:rPr>
      <w:fldChar w:fldCharType="end"/>
    </w:r>
  </w:p>
  <w:p w14:paraId="6069A1A1" w14:textId="77777777" w:rsidR="00E84BF3" w:rsidRDefault="00E84BF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361F3" w14:textId="77777777" w:rsidR="00EA465D" w:rsidRDefault="00EA465D" w:rsidP="00EA465D">
    <w:pPr>
      <w:pStyle w:val="Footer"/>
      <w:jc w:val="center"/>
    </w:pPr>
    <w:r>
      <w:rPr>
        <w:rStyle w:val="PageNumber"/>
      </w:rPr>
      <w:fldChar w:fldCharType="begin"/>
    </w:r>
    <w:r>
      <w:rPr>
        <w:rStyle w:val="PageNumber"/>
      </w:rPr>
      <w:instrText xml:space="preserve"> PAGE </w:instrText>
    </w:r>
    <w:r>
      <w:rPr>
        <w:rStyle w:val="PageNumber"/>
      </w:rPr>
      <w:fldChar w:fldCharType="separate"/>
    </w:r>
    <w:r w:rsidR="0065316B">
      <w:rPr>
        <w:rStyle w:val="PageNumber"/>
        <w:noProof/>
      </w:rPr>
      <w:t>3</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2DBEA" w14:textId="77777777" w:rsidR="006A58D0" w:rsidRDefault="006A58D0">
      <w:r>
        <w:separator/>
      </w:r>
    </w:p>
  </w:footnote>
  <w:footnote w:type="continuationSeparator" w:id="0">
    <w:p w14:paraId="1D740519" w14:textId="77777777" w:rsidR="006A58D0" w:rsidRDefault="006A58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B03B5"/>
    <w:multiLevelType w:val="multilevel"/>
    <w:tmpl w:val="D0CE2D98"/>
    <w:lvl w:ilvl="0">
      <w:start w:val="1"/>
      <w:numFmt w:val="decimal"/>
      <w:lvlText w:val="Figure %1."/>
      <w:lvlJc w:val="center"/>
      <w:pPr>
        <w:tabs>
          <w:tab w:val="num" w:pos="289"/>
        </w:tabs>
        <w:ind w:left="737" w:hanging="448"/>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C7288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D823CA8"/>
    <w:multiLevelType w:val="singleLevel"/>
    <w:tmpl w:val="3C305B3C"/>
    <w:lvl w:ilvl="0">
      <w:start w:val="1"/>
      <w:numFmt w:val="decimal"/>
      <w:pStyle w:val="Reference"/>
      <w:lvlText w:val="[%1]"/>
      <w:lvlJc w:val="left"/>
      <w:pPr>
        <w:tabs>
          <w:tab w:val="num" w:pos="567"/>
        </w:tabs>
        <w:ind w:left="567" w:hanging="567"/>
      </w:pPr>
    </w:lvl>
  </w:abstractNum>
  <w:abstractNum w:abstractNumId="3" w15:restartNumberingAfterBreak="0">
    <w:nsid w:val="1F787782"/>
    <w:multiLevelType w:val="multilevel"/>
    <w:tmpl w:val="9FE6C32E"/>
    <w:lvl w:ilvl="0">
      <w:start w:val="1"/>
      <w:numFmt w:val="decimal"/>
      <w:lvlText w:val="Figure %1."/>
      <w:lvlJc w:val="left"/>
      <w:pPr>
        <w:tabs>
          <w:tab w:val="num" w:pos="1077"/>
        </w:tabs>
        <w:ind w:left="567" w:hanging="567"/>
      </w:pPr>
      <w:rPr>
        <w:rFonts w:ascii="Calibri" w:hAnsi="Calibri" w:hint="default"/>
        <w:b/>
        <w:bCs w:val="0"/>
        <w:i w:val="0"/>
        <w:iCs w:val="0"/>
        <w:caps w:val="0"/>
        <w:smallCaps w:val="0"/>
        <w:strike w:val="0"/>
        <w:dstrike w:val="0"/>
        <w:noProof w:val="0"/>
        <w:snapToGrid w:val="0"/>
        <w:vanish w:val="0"/>
        <w:color w:val="auto"/>
        <w:spacing w:val="0"/>
        <w:w w:val="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0D67390"/>
    <w:multiLevelType w:val="multilevel"/>
    <w:tmpl w:val="F7D668EE"/>
    <w:lvl w:ilvl="0">
      <w:start w:val="1"/>
      <w:numFmt w:val="decimal"/>
      <w:lvlText w:val="%1"/>
      <w:lvlJc w:val="left"/>
      <w:pPr>
        <w:tabs>
          <w:tab w:val="num" w:pos="6386"/>
        </w:tabs>
        <w:ind w:left="6386"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47435B1"/>
    <w:multiLevelType w:val="multilevel"/>
    <w:tmpl w:val="5CAA61F6"/>
    <w:lvl w:ilvl="0">
      <w:start w:val="1"/>
      <w:numFmt w:val="decimal"/>
      <w:pStyle w:val="Heading1"/>
      <w:lvlText w:val="%1"/>
      <w:lvlJc w:val="left"/>
      <w:pPr>
        <w:tabs>
          <w:tab w:val="num" w:pos="6386"/>
        </w:tabs>
        <w:ind w:left="6386"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 w15:restartNumberingAfterBreak="0">
    <w:nsid w:val="252955DB"/>
    <w:multiLevelType w:val="hybridMultilevel"/>
    <w:tmpl w:val="37B81700"/>
    <w:lvl w:ilvl="0" w:tplc="D95E7BD8">
      <w:start w:val="1"/>
      <w:numFmt w:val="decimal"/>
      <w:lvlText w:val="Figure %1."/>
      <w:lvlJc w:val="left"/>
      <w:pPr>
        <w:tabs>
          <w:tab w:val="num" w:pos="1080"/>
        </w:tabs>
        <w:ind w:left="567" w:hanging="567"/>
      </w:pPr>
      <w:rPr>
        <w:rFonts w:ascii="Calibri" w:hAnsi="Calibri" w:hint="default"/>
        <w:b/>
        <w:bCs w:val="0"/>
        <w:i w:val="0"/>
        <w:iCs w:val="0"/>
        <w:caps w:val="0"/>
        <w:smallCaps w:val="0"/>
        <w:strike w:val="0"/>
        <w:dstrike w:val="0"/>
        <w:noProof w:val="0"/>
        <w:snapToGrid w:val="0"/>
        <w:vanish w:val="0"/>
        <w:color w:val="auto"/>
        <w:spacing w:val="0"/>
        <w:w w:val="10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6A96563"/>
    <w:multiLevelType w:val="multilevel"/>
    <w:tmpl w:val="C0DAE660"/>
    <w:lvl w:ilvl="0">
      <w:start w:val="1"/>
      <w:numFmt w:val="decimal"/>
      <w:lvlText w:val="Figure %1."/>
      <w:lvlJc w:val="left"/>
      <w:pPr>
        <w:tabs>
          <w:tab w:val="num" w:pos="567"/>
        </w:tabs>
        <w:ind w:left="448" w:hanging="448"/>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4475BC"/>
    <w:multiLevelType w:val="multilevel"/>
    <w:tmpl w:val="18586CE4"/>
    <w:lvl w:ilvl="0">
      <w:start w:val="1"/>
      <w:numFmt w:val="decimal"/>
      <w:lvlText w:val="Figure %1."/>
      <w:lvlJc w:val="left"/>
      <w:pPr>
        <w:tabs>
          <w:tab w:val="num" w:pos="1077"/>
        </w:tabs>
        <w:ind w:left="567" w:hanging="56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2FB0295"/>
    <w:multiLevelType w:val="multilevel"/>
    <w:tmpl w:val="0409001F"/>
    <w:numStyleLink w:val="111111"/>
  </w:abstractNum>
  <w:abstractNum w:abstractNumId="10" w15:restartNumberingAfterBreak="0">
    <w:nsid w:val="3D5D6481"/>
    <w:multiLevelType w:val="multilevel"/>
    <w:tmpl w:val="0E645B60"/>
    <w:lvl w:ilvl="0">
      <w:start w:val="1"/>
      <w:numFmt w:val="none"/>
      <w:lvlText w:val="Figure 1.1"/>
      <w:lvlJc w:val="left"/>
      <w:pPr>
        <w:tabs>
          <w:tab w:val="num" w:pos="1080"/>
        </w:tabs>
        <w:ind w:left="56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0816316"/>
    <w:multiLevelType w:val="hybridMultilevel"/>
    <w:tmpl w:val="1760FF2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1FD3FE2"/>
    <w:multiLevelType w:val="multilevel"/>
    <w:tmpl w:val="EEA018A4"/>
    <w:lvl w:ilvl="0">
      <w:start w:val="1"/>
      <w:numFmt w:val="decimal"/>
      <w:lvlText w:val="Figure %1."/>
      <w:lvlJc w:val="left"/>
      <w:pPr>
        <w:tabs>
          <w:tab w:val="num" w:pos="1080"/>
        </w:tabs>
        <w:ind w:left="567" w:hanging="567"/>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36D0130"/>
    <w:multiLevelType w:val="multilevel"/>
    <w:tmpl w:val="DE1A27F6"/>
    <w:lvl w:ilvl="0">
      <w:start w:val="1"/>
      <w:numFmt w:val="decimal"/>
      <w:lvlText w:val="Figure %1."/>
      <w:lvlJc w:val="left"/>
      <w:pPr>
        <w:tabs>
          <w:tab w:val="num" w:pos="1080"/>
        </w:tabs>
        <w:ind w:left="56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C330283"/>
    <w:multiLevelType w:val="multilevel"/>
    <w:tmpl w:val="2D6296CC"/>
    <w:lvl w:ilvl="0">
      <w:start w:val="1"/>
      <w:numFmt w:val="decimal"/>
      <w:lvlText w:val="Figure %1."/>
      <w:lvlJc w:val="left"/>
      <w:pPr>
        <w:ind w:left="360" w:hanging="360"/>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616F21D4"/>
    <w:multiLevelType w:val="multilevel"/>
    <w:tmpl w:val="4718DEC2"/>
    <w:lvl w:ilvl="0">
      <w:start w:val="1"/>
      <w:numFmt w:val="decimal"/>
      <w:lvlText w:val="Figure %1."/>
      <w:lvlJc w:val="left"/>
      <w:pPr>
        <w:tabs>
          <w:tab w:val="num" w:pos="1080"/>
        </w:tabs>
        <w:ind w:left="567" w:hanging="567"/>
      </w:pPr>
      <w:rPr>
        <w:rFonts w:ascii="Times New Roman" w:hAnsi="Times New Roman" w:hint="default"/>
        <w:b/>
        <w:i w:val="0"/>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6CF70347"/>
    <w:multiLevelType w:val="hybridMultilevel"/>
    <w:tmpl w:val="2FE4886E"/>
    <w:lvl w:ilvl="0" w:tplc="60ACFA52">
      <w:start w:val="1"/>
      <w:numFmt w:val="decimal"/>
      <w:pStyle w:val="Figure"/>
      <w:lvlText w:val="Figure %1."/>
      <w:lvlJc w:val="left"/>
      <w:pPr>
        <w:tabs>
          <w:tab w:val="num" w:pos="1080"/>
        </w:tabs>
        <w:ind w:left="567" w:hanging="567"/>
      </w:pPr>
      <w:rPr>
        <w:rFonts w:cs="Times New Roman"/>
        <w:bCs w:val="0"/>
        <w:i w:val="0"/>
        <w:iCs w:val="0"/>
        <w:caps w:val="0"/>
        <w:smallCaps w:val="0"/>
        <w:strike w:val="0"/>
        <w:dstrike w:val="0"/>
        <w:noProof w:val="0"/>
        <w:vanish w:val="0"/>
        <w:color w:val="00000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316F7A"/>
    <w:multiLevelType w:val="multilevel"/>
    <w:tmpl w:val="1EDC5752"/>
    <w:lvl w:ilvl="0">
      <w:start w:val="1"/>
      <w:numFmt w:val="decimal"/>
      <w:lvlText w:val="Figure %1."/>
      <w:lvlJc w:val="left"/>
      <w:pPr>
        <w:ind w:left="113" w:hanging="113"/>
      </w:pPr>
      <w:rPr>
        <w:rFonts w:ascii="Calibri" w:hAnsi="Calibri" w:hint="default"/>
        <w:b/>
        <w:i w:val="0"/>
        <w:caps w:val="0"/>
        <w:strike w:val="0"/>
        <w:dstrike w:val="0"/>
        <w:vanish w:val="0"/>
        <w:color w:val="auto"/>
        <w:sz w:val="22"/>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A240249"/>
    <w:multiLevelType w:val="multilevel"/>
    <w:tmpl w:val="ACFA65C4"/>
    <w:lvl w:ilvl="0">
      <w:start w:val="1"/>
      <w:numFmt w:val="decimal"/>
      <w:lvlText w:val="Figure %1."/>
      <w:lvlJc w:val="left"/>
      <w:pPr>
        <w:tabs>
          <w:tab w:val="num" w:pos="1080"/>
        </w:tabs>
        <w:ind w:left="567" w:hanging="567"/>
      </w:pPr>
      <w:rPr>
        <w:rFonts w:ascii="Calibri" w:hAnsi="Calibri" w:hint="default"/>
        <w:b/>
        <w:bCs w:val="0"/>
        <w:i w:val="0"/>
        <w:iCs w:val="0"/>
        <w:caps w:val="0"/>
        <w:smallCaps w:val="0"/>
        <w:strike w:val="0"/>
        <w:dstrike w:val="0"/>
        <w:noProof w:val="0"/>
        <w:snapToGrid w:val="0"/>
        <w:vanish w:val="0"/>
        <w:color w:val="auto"/>
        <w:spacing w:val="0"/>
        <w:w w:val="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7D8A74A4"/>
    <w:multiLevelType w:val="multilevel"/>
    <w:tmpl w:val="B824EAA8"/>
    <w:lvl w:ilvl="0">
      <w:start w:val="1"/>
      <w:numFmt w:val="decimal"/>
      <w:lvlText w:val="Figure %1."/>
      <w:lvlJc w:val="left"/>
      <w:pPr>
        <w:tabs>
          <w:tab w:val="num" w:pos="1080"/>
        </w:tabs>
        <w:ind w:left="567" w:hanging="567"/>
      </w:pPr>
      <w:rPr>
        <w:rFonts w:ascii="Calibri" w:hAnsi="Calibri" w:hint="default"/>
        <w:b/>
        <w:bCs w:val="0"/>
        <w:i w:val="0"/>
        <w:iCs w:val="0"/>
        <w:caps w:val="0"/>
        <w:smallCaps w:val="0"/>
        <w:strike w:val="0"/>
        <w:dstrike w:val="0"/>
        <w:noProof w:val="0"/>
        <w:snapToGrid w:val="0"/>
        <w:vanish w:val="0"/>
        <w:color w:val="auto"/>
        <w:spacing w:val="0"/>
        <w:w w:val="0"/>
        <w:kern w:val="0"/>
        <w:position w:val="0"/>
        <w:sz w:val="22"/>
        <w:szCs w:val="0"/>
        <w:u w:val="none" w:color="000000"/>
        <w:effect w:val="none"/>
        <w:bdr w:val="none" w:sz="0" w:space="0" w:color="000000"/>
        <w:shd w:val="clear" w:color="000000" w:fill="000000"/>
        <w:vertAlign w:val="baseline"/>
        <w:em w:val="none"/>
        <w:lang w:val="x-none"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607853627">
    <w:abstractNumId w:val="2"/>
  </w:num>
  <w:num w:numId="2" w16cid:durableId="1888563530">
    <w:abstractNumId w:val="6"/>
  </w:num>
  <w:num w:numId="3" w16cid:durableId="505479253">
    <w:abstractNumId w:val="5"/>
  </w:num>
  <w:num w:numId="4" w16cid:durableId="186261471">
    <w:abstractNumId w:val="11"/>
  </w:num>
  <w:num w:numId="5" w16cid:durableId="720010337">
    <w:abstractNumId w:val="15"/>
  </w:num>
  <w:num w:numId="6" w16cid:durableId="1166826037">
    <w:abstractNumId w:val="5"/>
  </w:num>
  <w:num w:numId="7" w16cid:durableId="9838836">
    <w:abstractNumId w:val="5"/>
  </w:num>
  <w:num w:numId="8" w16cid:durableId="1319769485">
    <w:abstractNumId w:val="4"/>
  </w:num>
  <w:num w:numId="9" w16cid:durableId="1155801564">
    <w:abstractNumId w:val="1"/>
  </w:num>
  <w:num w:numId="10" w16cid:durableId="953829894">
    <w:abstractNumId w:val="9"/>
  </w:num>
  <w:num w:numId="11" w16cid:durableId="1991401449">
    <w:abstractNumId w:val="12"/>
  </w:num>
  <w:num w:numId="12" w16cid:durableId="1926499060">
    <w:abstractNumId w:val="13"/>
  </w:num>
  <w:num w:numId="13" w16cid:durableId="809782613">
    <w:abstractNumId w:val="10"/>
  </w:num>
  <w:num w:numId="14" w16cid:durableId="1392777455">
    <w:abstractNumId w:val="18"/>
  </w:num>
  <w:num w:numId="15" w16cid:durableId="958949364">
    <w:abstractNumId w:val="19"/>
  </w:num>
  <w:num w:numId="16" w16cid:durableId="1059472259">
    <w:abstractNumId w:val="16"/>
  </w:num>
  <w:num w:numId="17" w16cid:durableId="1072315213">
    <w:abstractNumId w:val="14"/>
  </w:num>
  <w:num w:numId="18" w16cid:durableId="999847828">
    <w:abstractNumId w:val="17"/>
  </w:num>
  <w:num w:numId="19" w16cid:durableId="618147243">
    <w:abstractNumId w:val="0"/>
  </w:num>
  <w:num w:numId="20" w16cid:durableId="316105577">
    <w:abstractNumId w:val="7"/>
  </w:num>
  <w:num w:numId="21" w16cid:durableId="770122128">
    <w:abstractNumId w:val="8"/>
  </w:num>
  <w:num w:numId="22" w16cid:durableId="355277509">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1"/>
  <w:drawingGridVerticalSpacing w:val="181"/>
  <w:displayHorizontalDrawingGridEvery w:val="0"/>
  <w:displayVerticalDrawingGridEvery w:val="0"/>
  <w:doNotUseMarginsForDrawingGridOrigin/>
  <w:drawingGridVerticalOrigin w:val="1985"/>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57B1"/>
    <w:rsid w:val="00012438"/>
    <w:rsid w:val="000323F1"/>
    <w:rsid w:val="00061BBE"/>
    <w:rsid w:val="000C2662"/>
    <w:rsid w:val="000D6DB4"/>
    <w:rsid w:val="000E4C78"/>
    <w:rsid w:val="000F4962"/>
    <w:rsid w:val="001071F6"/>
    <w:rsid w:val="00115BFD"/>
    <w:rsid w:val="00156A47"/>
    <w:rsid w:val="001B1B58"/>
    <w:rsid w:val="001D0CBC"/>
    <w:rsid w:val="00207981"/>
    <w:rsid w:val="002129B5"/>
    <w:rsid w:val="0028484E"/>
    <w:rsid w:val="002A5C34"/>
    <w:rsid w:val="002C2403"/>
    <w:rsid w:val="00300792"/>
    <w:rsid w:val="0030299F"/>
    <w:rsid w:val="003168B7"/>
    <w:rsid w:val="00331523"/>
    <w:rsid w:val="00362AB0"/>
    <w:rsid w:val="00365FCE"/>
    <w:rsid w:val="00396309"/>
    <w:rsid w:val="003C26DC"/>
    <w:rsid w:val="003E6C20"/>
    <w:rsid w:val="004043D5"/>
    <w:rsid w:val="004053C2"/>
    <w:rsid w:val="00431ACA"/>
    <w:rsid w:val="00483BF1"/>
    <w:rsid w:val="00490423"/>
    <w:rsid w:val="004D3B46"/>
    <w:rsid w:val="004F1D5D"/>
    <w:rsid w:val="005317FF"/>
    <w:rsid w:val="005573C8"/>
    <w:rsid w:val="00611EE0"/>
    <w:rsid w:val="00643DA1"/>
    <w:rsid w:val="0065316B"/>
    <w:rsid w:val="00685596"/>
    <w:rsid w:val="006A58D0"/>
    <w:rsid w:val="006D3192"/>
    <w:rsid w:val="006F5962"/>
    <w:rsid w:val="00712190"/>
    <w:rsid w:val="00716178"/>
    <w:rsid w:val="007349FD"/>
    <w:rsid w:val="00741E2A"/>
    <w:rsid w:val="00747CBD"/>
    <w:rsid w:val="00793F7F"/>
    <w:rsid w:val="00794F1E"/>
    <w:rsid w:val="007A7F8D"/>
    <w:rsid w:val="007B4FCF"/>
    <w:rsid w:val="007C5E49"/>
    <w:rsid w:val="007F1BF1"/>
    <w:rsid w:val="00826110"/>
    <w:rsid w:val="00852323"/>
    <w:rsid w:val="0089371D"/>
    <w:rsid w:val="0089751E"/>
    <w:rsid w:val="008B1D41"/>
    <w:rsid w:val="008C7234"/>
    <w:rsid w:val="008E6096"/>
    <w:rsid w:val="00912637"/>
    <w:rsid w:val="009250EC"/>
    <w:rsid w:val="00931AFC"/>
    <w:rsid w:val="0094099D"/>
    <w:rsid w:val="009514D0"/>
    <w:rsid w:val="00953172"/>
    <w:rsid w:val="0096261B"/>
    <w:rsid w:val="00990BA6"/>
    <w:rsid w:val="009B0DB8"/>
    <w:rsid w:val="009B3C14"/>
    <w:rsid w:val="00A00C11"/>
    <w:rsid w:val="00A4705A"/>
    <w:rsid w:val="00A662A9"/>
    <w:rsid w:val="00AC1615"/>
    <w:rsid w:val="00AF2EA8"/>
    <w:rsid w:val="00B4723C"/>
    <w:rsid w:val="00B50B70"/>
    <w:rsid w:val="00B73764"/>
    <w:rsid w:val="00B85FD2"/>
    <w:rsid w:val="00B918E2"/>
    <w:rsid w:val="00BC385C"/>
    <w:rsid w:val="00BE1334"/>
    <w:rsid w:val="00BF796A"/>
    <w:rsid w:val="00C01018"/>
    <w:rsid w:val="00C15D20"/>
    <w:rsid w:val="00C53534"/>
    <w:rsid w:val="00C616D6"/>
    <w:rsid w:val="00CA7CCF"/>
    <w:rsid w:val="00CD71B7"/>
    <w:rsid w:val="00D24D2E"/>
    <w:rsid w:val="00D25C91"/>
    <w:rsid w:val="00D633F6"/>
    <w:rsid w:val="00D64AE0"/>
    <w:rsid w:val="00D81240"/>
    <w:rsid w:val="00DA444D"/>
    <w:rsid w:val="00DE15A2"/>
    <w:rsid w:val="00DF0B82"/>
    <w:rsid w:val="00DF642A"/>
    <w:rsid w:val="00E02683"/>
    <w:rsid w:val="00E657B1"/>
    <w:rsid w:val="00E84BF3"/>
    <w:rsid w:val="00E94E0D"/>
    <w:rsid w:val="00EA465D"/>
    <w:rsid w:val="00EE0A79"/>
    <w:rsid w:val="00EE4301"/>
    <w:rsid w:val="00F05CF4"/>
    <w:rsid w:val="00F47121"/>
    <w:rsid w:val="00F5714A"/>
    <w:rsid w:val="00F709E7"/>
    <w:rsid w:val="00F7448B"/>
    <w:rsid w:val="00FB5E99"/>
    <w:rsid w:val="00FB74DD"/>
    <w:rsid w:val="00FD3EDE"/>
    <w:rsid w:val="00FF02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04F48BA"/>
  <w15:docId w15:val="{44991550-0650-4754-8124-060518E6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3168B7"/>
    <w:pPr>
      <w:spacing w:after="120"/>
      <w:jc w:val="both"/>
    </w:pPr>
    <w:rPr>
      <w:rFonts w:ascii="Calibri" w:hAnsi="Calibri"/>
      <w:sz w:val="22"/>
      <w:lang w:val="en-GB"/>
    </w:rPr>
  </w:style>
  <w:style w:type="paragraph" w:styleId="Heading1">
    <w:name w:val="heading 1"/>
    <w:basedOn w:val="Normal"/>
    <w:next w:val="BodyFirst"/>
    <w:qFormat/>
    <w:pPr>
      <w:keepNext/>
      <w:pageBreakBefore/>
      <w:numPr>
        <w:numId w:val="3"/>
      </w:numPr>
      <w:tabs>
        <w:tab w:val="clear" w:pos="6386"/>
        <w:tab w:val="num" w:pos="432"/>
      </w:tabs>
      <w:spacing w:before="240" w:after="180"/>
      <w:ind w:left="432"/>
      <w:outlineLvl w:val="0"/>
    </w:pPr>
    <w:rPr>
      <w:b/>
      <w:kern w:val="28"/>
      <w:sz w:val="32"/>
    </w:rPr>
  </w:style>
  <w:style w:type="paragraph" w:styleId="Heading2">
    <w:name w:val="heading 2"/>
    <w:basedOn w:val="Normal"/>
    <w:next w:val="BodyFirst"/>
    <w:qFormat/>
    <w:pPr>
      <w:keepNext/>
      <w:numPr>
        <w:ilvl w:val="1"/>
        <w:numId w:val="3"/>
      </w:numPr>
      <w:spacing w:before="180"/>
      <w:outlineLvl w:val="1"/>
    </w:pPr>
    <w:rPr>
      <w:b/>
      <w:sz w:val="26"/>
    </w:rPr>
  </w:style>
  <w:style w:type="paragraph" w:styleId="Heading3">
    <w:name w:val="heading 3"/>
    <w:basedOn w:val="Normal"/>
    <w:next w:val="BodyFirst"/>
    <w:qFormat/>
    <w:pPr>
      <w:keepNext/>
      <w:numPr>
        <w:ilvl w:val="2"/>
        <w:numId w:val="3"/>
      </w:numPr>
      <w:spacing w:before="240"/>
      <w:outlineLvl w:val="2"/>
    </w:pPr>
    <w:rPr>
      <w:b/>
      <w:sz w:val="24"/>
    </w:rPr>
  </w:style>
  <w:style w:type="paragraph" w:styleId="Heading4">
    <w:name w:val="heading 4"/>
    <w:basedOn w:val="Normal"/>
    <w:next w:val="BodyFirst"/>
    <w:qFormat/>
    <w:rsid w:val="00F47121"/>
    <w:pPr>
      <w:keepNext/>
      <w:numPr>
        <w:ilvl w:val="3"/>
        <w:numId w:val="10"/>
      </w:numPr>
      <w:tabs>
        <w:tab w:val="num" w:pos="709"/>
      </w:tabs>
      <w:spacing w:before="240" w:after="60"/>
      <w:ind w:left="646" w:hanging="646"/>
      <w:outlineLvl w:val="3"/>
    </w:pPr>
    <w:rPr>
      <w:iCs/>
    </w:rPr>
  </w:style>
  <w:style w:type="paragraph" w:styleId="Heading5">
    <w:name w:val="heading 5"/>
    <w:basedOn w:val="Normal"/>
    <w:next w:val="Normal"/>
    <w:pPr>
      <w:numPr>
        <w:ilvl w:val="4"/>
        <w:numId w:val="3"/>
      </w:numPr>
      <w:spacing w:before="240" w:after="60"/>
      <w:outlineLvl w:val="4"/>
    </w:pPr>
    <w:rPr>
      <w:b/>
      <w:bCs/>
      <w:i/>
      <w:iCs/>
      <w:sz w:val="26"/>
      <w:szCs w:val="26"/>
    </w:rPr>
  </w:style>
  <w:style w:type="paragraph" w:styleId="Heading6">
    <w:name w:val="heading 6"/>
    <w:basedOn w:val="Normal"/>
    <w:next w:val="Normal"/>
    <w:pPr>
      <w:numPr>
        <w:ilvl w:val="5"/>
        <w:numId w:val="3"/>
      </w:numPr>
      <w:spacing w:before="240" w:after="60"/>
      <w:outlineLvl w:val="5"/>
    </w:pPr>
    <w:rPr>
      <w:b/>
      <w:bCs/>
      <w:szCs w:val="22"/>
    </w:rPr>
  </w:style>
  <w:style w:type="paragraph" w:styleId="Heading7">
    <w:name w:val="heading 7"/>
    <w:basedOn w:val="Normal"/>
    <w:next w:val="Normal"/>
    <w:pPr>
      <w:numPr>
        <w:ilvl w:val="6"/>
        <w:numId w:val="3"/>
      </w:numPr>
      <w:spacing w:before="240" w:after="60"/>
      <w:outlineLvl w:val="6"/>
    </w:pPr>
    <w:rPr>
      <w:sz w:val="24"/>
      <w:szCs w:val="24"/>
    </w:rPr>
  </w:style>
  <w:style w:type="paragraph" w:styleId="Heading8">
    <w:name w:val="heading 8"/>
    <w:basedOn w:val="Normal"/>
    <w:next w:val="Normal"/>
    <w:pPr>
      <w:numPr>
        <w:ilvl w:val="7"/>
        <w:numId w:val="3"/>
      </w:numPr>
      <w:spacing w:before="240" w:after="60"/>
      <w:outlineLvl w:val="7"/>
    </w:pPr>
    <w:rPr>
      <w:i/>
      <w:iCs/>
      <w:sz w:val="24"/>
      <w:szCs w:val="24"/>
    </w:rPr>
  </w:style>
  <w:style w:type="paragraph" w:styleId="Heading9">
    <w:name w:val="heading 9"/>
    <w:basedOn w:val="Normal"/>
    <w:next w:val="Normal"/>
    <w:pPr>
      <w:numPr>
        <w:ilvl w:val="8"/>
        <w:numId w:val="3"/>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ListBullet">
    <w:name w:val="List Bullet"/>
    <w:basedOn w:val="Normal"/>
    <w:autoRedefine/>
    <w:qFormat/>
    <w:rsid w:val="006F5962"/>
  </w:style>
  <w:style w:type="paragraph" w:styleId="Title">
    <w:name w:val="Title"/>
    <w:basedOn w:val="Normal"/>
    <w:qFormat/>
    <w:pPr>
      <w:tabs>
        <w:tab w:val="center" w:pos="4153"/>
        <w:tab w:val="left" w:pos="6324"/>
      </w:tabs>
      <w:spacing w:before="480" w:after="480"/>
      <w:jc w:val="center"/>
      <w:outlineLvl w:val="0"/>
    </w:pPr>
    <w:rPr>
      <w:b/>
      <w:kern w:val="28"/>
      <w:sz w:val="36"/>
    </w:rPr>
  </w:style>
  <w:style w:type="paragraph" w:customStyle="1" w:styleId="Author">
    <w:name w:val="Author"/>
    <w:basedOn w:val="Title"/>
    <w:qFormat/>
    <w:rPr>
      <w:bCs/>
      <w:sz w:val="32"/>
    </w:rPr>
  </w:style>
  <w:style w:type="character" w:styleId="FollowedHyperlink">
    <w:name w:val="FollowedHyperlink"/>
    <w:rPr>
      <w:color w:val="800080"/>
      <w:u w:val="single"/>
    </w:rPr>
  </w:style>
  <w:style w:type="paragraph" w:customStyle="1" w:styleId="Unnumbered1">
    <w:name w:val="Unnumbered 1"/>
    <w:basedOn w:val="Heading1"/>
    <w:next w:val="BodyFirst"/>
    <w:qFormat/>
    <w:pPr>
      <w:numPr>
        <w:numId w:val="0"/>
      </w:numPr>
    </w:pPr>
  </w:style>
  <w:style w:type="paragraph" w:customStyle="1" w:styleId="Reference">
    <w:name w:val="Reference"/>
    <w:basedOn w:val="Normal"/>
    <w:qFormat/>
    <w:pPr>
      <w:numPr>
        <w:numId w:val="1"/>
      </w:numPr>
      <w:tabs>
        <w:tab w:val="clear" w:pos="360"/>
        <w:tab w:val="num" w:pos="426"/>
      </w:tabs>
      <w:ind w:left="426" w:hanging="425"/>
    </w:pPr>
  </w:style>
  <w:style w:type="paragraph" w:styleId="Date">
    <w:name w:val="Date"/>
    <w:basedOn w:val="Normal"/>
    <w:next w:val="Normal"/>
    <w:qFormat/>
    <w:pPr>
      <w:jc w:val="center"/>
    </w:pPr>
    <w:rPr>
      <w:sz w:val="24"/>
    </w:rPr>
  </w:style>
  <w:style w:type="paragraph" w:customStyle="1" w:styleId="Figure">
    <w:name w:val="Figure"/>
    <w:basedOn w:val="BodyText"/>
    <w:next w:val="BodyText"/>
    <w:qFormat/>
    <w:rsid w:val="0089751E"/>
    <w:pPr>
      <w:numPr>
        <w:numId w:val="16"/>
      </w:numPr>
      <w:jc w:val="center"/>
    </w:pPr>
    <w:rPr>
      <w:b/>
    </w:rPr>
  </w:style>
  <w:style w:type="paragraph" w:styleId="TOC1">
    <w:name w:val="toc 1"/>
    <w:basedOn w:val="Normal"/>
    <w:next w:val="Normal"/>
    <w:autoRedefine/>
    <w:semiHidden/>
  </w:style>
  <w:style w:type="paragraph" w:styleId="TOC2">
    <w:name w:val="toc 2"/>
    <w:basedOn w:val="Normal"/>
    <w:next w:val="Normal"/>
    <w:autoRedefine/>
    <w:semiHidden/>
    <w:pPr>
      <w:ind w:left="220"/>
    </w:pPr>
  </w:style>
  <w:style w:type="paragraph" w:styleId="TOC3">
    <w:name w:val="toc 3"/>
    <w:basedOn w:val="Normal"/>
    <w:next w:val="Normal"/>
    <w:autoRedefine/>
    <w:semiHidden/>
    <w:pPr>
      <w:ind w:left="440"/>
    </w:pPr>
  </w:style>
  <w:style w:type="paragraph" w:styleId="TOC4">
    <w:name w:val="toc 4"/>
    <w:basedOn w:val="Normal"/>
    <w:next w:val="Normal"/>
    <w:autoRedefine/>
    <w:semiHidden/>
    <w:pPr>
      <w:ind w:left="660"/>
    </w:pPr>
  </w:style>
  <w:style w:type="paragraph" w:customStyle="1" w:styleId="BodyFirst">
    <w:name w:val="Body First"/>
    <w:basedOn w:val="Normal"/>
    <w:next w:val="BodyText"/>
    <w:link w:val="BodyFirstChar"/>
    <w:qFormat/>
  </w:style>
  <w:style w:type="paragraph" w:styleId="BodyText">
    <w:name w:val="Body Text"/>
    <w:basedOn w:val="Normal"/>
    <w:qFormat/>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customStyle="1" w:styleId="BodyCentre">
    <w:name w:val="Body Centre"/>
    <w:basedOn w:val="BodyText"/>
    <w:pPr>
      <w:jc w:val="center"/>
    </w:pPr>
  </w:style>
  <w:style w:type="paragraph" w:styleId="TOC7">
    <w:name w:val="toc 7"/>
    <w:basedOn w:val="Normal"/>
    <w:next w:val="Normal"/>
    <w:autoRedefine/>
    <w:semiHidden/>
    <w:pPr>
      <w:ind w:left="1320"/>
    </w:pPr>
  </w:style>
  <w:style w:type="paragraph" w:styleId="BlockText">
    <w:name w:val="Block Text"/>
    <w:basedOn w:val="Normal"/>
    <w:pPr>
      <w:ind w:left="1440" w:right="144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TableofFigures">
    <w:name w:val="table of figures"/>
    <w:basedOn w:val="Normal"/>
    <w:next w:val="Normal"/>
    <w:semiHidden/>
    <w:pPr>
      <w:ind w:left="440" w:hanging="440"/>
    </w:pPr>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character" w:styleId="PageNumber">
    <w:name w:val="page number"/>
    <w:basedOn w:val="DefaultParagraphFont"/>
  </w:style>
  <w:style w:type="table" w:styleId="TableGrid">
    <w:name w:val="Table Grid"/>
    <w:basedOn w:val="TableNormal"/>
    <w:rsid w:val="00115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sid w:val="00115BFD"/>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31">
    <w:name w:val="Grid Table 4 - Accent 31"/>
    <w:basedOn w:val="TableNormal"/>
    <w:uiPriority w:val="49"/>
    <w:rsid w:val="00115BFD"/>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styleId="111111">
    <w:name w:val="Outline List 2"/>
    <w:basedOn w:val="NoList"/>
    <w:rsid w:val="00F47121"/>
    <w:pPr>
      <w:numPr>
        <w:numId w:val="9"/>
      </w:numPr>
    </w:pPr>
  </w:style>
  <w:style w:type="paragraph" w:styleId="BalloonText">
    <w:name w:val="Balloon Text"/>
    <w:basedOn w:val="Normal"/>
    <w:link w:val="BalloonTextChar"/>
    <w:rsid w:val="00B73764"/>
    <w:pPr>
      <w:spacing w:after="0"/>
    </w:pPr>
    <w:rPr>
      <w:rFonts w:ascii="Tahoma" w:hAnsi="Tahoma" w:cs="Tahoma"/>
      <w:sz w:val="16"/>
      <w:szCs w:val="16"/>
    </w:rPr>
  </w:style>
  <w:style w:type="character" w:customStyle="1" w:styleId="BalloonTextChar">
    <w:name w:val="Balloon Text Char"/>
    <w:link w:val="BalloonText"/>
    <w:rsid w:val="00B73764"/>
    <w:rPr>
      <w:rFonts w:ascii="Tahoma" w:hAnsi="Tahoma" w:cs="Tahoma"/>
      <w:sz w:val="16"/>
      <w:szCs w:val="16"/>
    </w:rPr>
  </w:style>
  <w:style w:type="character" w:styleId="UnresolvedMention">
    <w:name w:val="Unresolved Mention"/>
    <w:basedOn w:val="DefaultParagraphFont"/>
    <w:uiPriority w:val="99"/>
    <w:semiHidden/>
    <w:unhideWhenUsed/>
    <w:rsid w:val="0094099D"/>
    <w:rPr>
      <w:color w:val="605E5C"/>
      <w:shd w:val="clear" w:color="auto" w:fill="E1DFDD"/>
    </w:rPr>
  </w:style>
  <w:style w:type="character" w:customStyle="1" w:styleId="BodyFirstChar">
    <w:name w:val="Body First Char"/>
    <w:link w:val="BodyFirst"/>
    <w:rsid w:val="00B918E2"/>
    <w:rPr>
      <w:rFonts w:ascii="Calibri" w:hAnsi="Calibri"/>
      <w:sz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447637">
      <w:bodyDiv w:val="1"/>
      <w:marLeft w:val="0"/>
      <w:marRight w:val="0"/>
      <w:marTop w:val="0"/>
      <w:marBottom w:val="0"/>
      <w:divBdr>
        <w:top w:val="none" w:sz="0" w:space="0" w:color="auto"/>
        <w:left w:val="none" w:sz="0" w:space="0" w:color="auto"/>
        <w:bottom w:val="none" w:sz="0" w:space="0" w:color="auto"/>
        <w:right w:val="none" w:sz="0" w:space="0" w:color="auto"/>
      </w:divBdr>
    </w:div>
    <w:div w:id="65518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s.stir.ac.uk/~kjt/research/conformed.html" TargetMode="External"/><Relationship Id="rId13" Type="http://schemas.openxmlformats.org/officeDocument/2006/relationships/hyperlink" Target="https://www.iso.org/standard/16258.html"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doi.org/10.1201/9780429246562" TargetMode="External"/><Relationship Id="rId17" Type="http://schemas.openxmlformats.org/officeDocument/2006/relationships/hyperlink" Target="https://www.cs.stir.ac.uk/research" TargetMode="External"/><Relationship Id="rId2" Type="http://schemas.openxmlformats.org/officeDocument/2006/relationships/styles" Target="styles.xml"/><Relationship Id="rId16" Type="http://schemas.openxmlformats.org/officeDocument/2006/relationships/hyperlink" Target="https://doi.org/10.1007/978-0-387-35578-8_17"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hyperlink" Target="https://doi.org/10.1017/S0373463302001765" TargetMode="External"/><Relationship Id="rId10" Type="http://schemas.openxmlformats.org/officeDocument/2006/relationships/oleObject" Target="embeddings/oleObject1.bin"/><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diva-portal.org/smash/get/diva2:962037/FULLTEXT01.pdf" TargetMode="External"/><Relationship Id="rId21" Type="http://schemas.openxmlformats.org/officeDocument/2006/relationships/image" Target="media/image3.png"/><Relationship Id="rId22" Type="http://schemas.openxmlformats.org/officeDocument/2006/relationships/hyperlink" Target="https://arxiv.org/abs/2305.14314" TargetMode="External"/><Relationship Id="rId23" Type="http://schemas.openxmlformats.org/officeDocument/2006/relationships/hyperlink" Target="https://huggingface.co/Qwen/Qwen3.8-27B" TargetMode="External"/><Relationship Id="rId24" Type="http://schemas.openxmlformats.org/officeDocument/2006/relationships/hyperlink" Target="https://arxiv.org/abs/2404.06654" TargetMode="External"/><Relationship Id="rId25" Type="http://schemas.openxmlformats.org/officeDocument/2006/relationships/hyperlink" Target="https://arxiv.org/abs/2106.09685" TargetMode="External"/><Relationship Id="rId26" Type="http://schemas.openxmlformats.org/officeDocument/2006/relationships/hyperlink" Target="https://unsloth.ai/docs/models/qwen3.5/fine-tune" TargetMode="External"/><Relationship Id="rId27" Type="http://schemas.openxmlformats.org/officeDocument/2006/relationships/hyperlink" Target="https://unsloth.ai/docs/models/qwen3.8/train" TargetMode="External"/><Relationship Id="rId28" Type="http://schemas.openxmlformats.org/officeDocument/2006/relationships/hyperlink" Target="https://arxiv.org/abs/2405.09673" TargetMode="External"/><Relationship Id="rId29" Type="http://schemas.openxmlformats.org/officeDocument/2006/relationships/hyperlink" Target="https://arxiv.org/abs/2309.12307" TargetMode="External"/><Relationship Id="rId30" Type="http://schemas.openxmlformats.org/officeDocument/2006/relationships/hyperlink" Target="https://arxiv.org/abs/2310.06770" TargetMode="External"/><Relationship Id="rId31" Type="http://schemas.openxmlformats.org/officeDocument/2006/relationships/hyperlink" Target="https://openai.com/index/introducing-swe-bench-verified/" TargetMode="External"/><Relationship Id="rId32" Type="http://schemas.openxmlformats.org/officeDocument/2006/relationships/hyperlink" Target="https://github.com/unslothai/unsloth" TargetMode="External"/><Relationship Id="rId33" Type="http://schemas.openxmlformats.org/officeDocument/2006/relationships/hyperlink" Target="https://rocm.docs.amd.com/en/latest/compatibility/compatibility-matrix.html" TargetMode="External"/><Relationship Id="rId34" Type="http://schemas.openxmlformats.org/officeDocument/2006/relationships/hyperlink" Target="https://huggingface.co/docs/bitsandbytes/v0.50.2/installation" TargetMode="External"/><Relationship Id="rId35" Type="http://schemas.openxmlformats.org/officeDocument/2006/relationships/hyperlink" Target="https://github.com/huggingface/peft" TargetMode="External"/><Relationship Id="rId36" Type="http://schemas.openxmlformats.org/officeDocument/2006/relationships/hyperlink" Target="https://github.com/ggml-org/llama.cpp" TargetMode="External"/><Relationship Id="rId37" Type="http://schemas.openxmlformats.org/officeDocument/2006/relationships/hyperlink" Target="https://arxiv.org/abs/2305.01210" TargetMode="External"/><Relationship Id="rId38" Type="http://schemas.openxmlformats.org/officeDocument/2006/relationships/hyperlink" Target="https://arxiv.org/abs/2403.07974" TargetMode="External"/><Relationship Id="rId39" Type="http://schemas.openxmlformats.org/officeDocument/2006/relationships/hyperlink" Target="https://arxiv.org/abs/2505.07897" TargetMode="External"/><Relationship Id="rId40" Type="http://schemas.openxmlformats.org/officeDocument/2006/relationships/hyperlink" Target="https://arxiv.org/abs/2406.06025" TargetMode="External"/><Relationship Id="rId41" Type="http://schemas.openxmlformats.org/officeDocument/2006/relationships/hyperlink" Target="https://huggingface.co/datasets/nvidia/Open-SWE-Traces" TargetMode="External"/><Relationship Id="rId42" Type="http://schemas.openxmlformats.org/officeDocument/2006/relationships/hyperlink" Target="https://huggingface.co/datasets/open-athena/recursive-task-synthesis-glm-5.3-rollouts" TargetMode="External"/><Relationship Id="rId43" Type="http://schemas.openxmlformats.org/officeDocument/2006/relationships/hyperlink" Target="https://huggingface.co/datasets/sequelbox/Tachibana4-DeepSeek-V4-Pro" TargetMode="External"/><Relationship Id="rId44" Type="http://schemas.openxmlformats.org/officeDocument/2006/relationships/hyperlink" Target="https://huggingface.co/datasets/Banaxi-Tech/Deepseek-V4-Reasoning-Code-2500" TargetMode="External"/><Relationship Id="rId45" Type="http://schemas.openxmlformats.org/officeDocument/2006/relationships/hyperlink" Target="https://arxiv.org/abs/2504.01943" TargetMode="External"/><Relationship Id="rId46" Type="http://schemas.openxmlformats.org/officeDocument/2006/relationships/hyperlink" Target="https://proceedings.mlr.press/v267/pan25g.html" TargetMode="External"/><Relationship Id="rId47" Type="http://schemas.openxmlformats.org/officeDocument/2006/relationships/hyperlink" Target="https://arxiv.org/abs/2411.09009" TargetMode="External"/><Relationship Id="rId48" Type="http://schemas.openxmlformats.org/officeDocument/2006/relationships/hyperlink" Target="https://www.vals.ai/benchmarks/lcb" TargetMode="External"/><Relationship Id="rId49" Type="http://schemas.openxmlformats.org/officeDocument/2006/relationships/hyperlink" Target="https://www.vals.ai/benchmarks/swebench" TargetMode="External"/><Relationship Id="rId50" Type="http://schemas.openxmlformats.org/officeDocument/2006/relationships/hyperlink" Target="https://www.vals.ai/benchmarks/terminal-bench-2-1" TargetMode="External"/><Relationship Id="rId51" Type="http://schemas.openxmlformats.org/officeDocument/2006/relationships/hyperlink" Target="https://arxiv.org/abs/2308.01825" TargetMode="External"/><Relationship Id="rId52" Type="http://schemas.openxmlformats.org/officeDocument/2006/relationships/hyperlink" Target="https://huggingface.co/datasets/nvidia/Nemotron-SFT-Math-v4" TargetMode="External"/><Relationship Id="rId53" Type="http://schemas.openxmlformats.org/officeDocument/2006/relationships/hyperlink" Target="https://arxiv.org/abs/2311.04850" TargetMode="External"/><Relationship Id="rId54" Type="http://schemas.openxmlformats.org/officeDocument/2006/relationships/hyperlink" Target="https://arxiv.org/abs/2504.04030" TargetMode="External"/><Relationship Id="rId55" Type="http://schemas.openxmlformats.org/officeDocument/2006/relationships/hyperlink" Target="https://arxiv.org/abs/2312.06585" TargetMode="External"/><Relationship Id="rId56" Type="http://schemas.openxmlformats.org/officeDocument/2006/relationships/hyperlink" Target="https://huggingface.co/deepseek-ai/DeepSeek-R1-0528" TargetMode="External"/><Relationship Id="rId57" Type="http://schemas.openxmlformats.org/officeDocument/2006/relationships/hyperlink" Target="https://arxiv.org/abs/2403.08763" TargetMode="External"/><Relationship Id="rId58" Type="http://schemas.openxmlformats.org/officeDocument/2006/relationships/hyperlink" Target="https://arxiv.org/abs/2203.07814" TargetMode="External"/><Relationship Id="rId59" Type="http://schemas.openxmlformats.org/officeDocument/2006/relationships/hyperlink" Target="https://arxiv.org/abs/2406.01574" TargetMode="External"/><Relationship Id="rId60" Type="http://schemas.openxmlformats.org/officeDocument/2006/relationships/hyperlink" Target="https://github.com/ShishirPatil/gorilla" TargetMode="External"/><Relationship Id="rId61" Type="http://schemas.openxmlformats.org/officeDocument/2006/relationships/hyperlink" Target="https://arxiv.org/abs/2405.183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d6fa6db5-9f3a-4c93-9e38-61059ee07e95}" enabled="1" method="Standard" siteId="{4e8d09f7-cc79-4ccb-9149-a4238dd17422}" contentBits="0" removed="0"/>
</clbl:labelList>
</file>

<file path=docProps/app.xml><?xml version="1.0" encoding="utf-8"?>
<Properties xmlns="http://schemas.openxmlformats.org/officeDocument/2006/extended-properties" xmlns:vt="http://schemas.openxmlformats.org/officeDocument/2006/docPropsVTypes">
  <Template>Normal.dotm</Template>
  <TotalTime>56</TotalTime>
  <Pages>8</Pages>
  <Words>1356</Words>
  <Characters>7732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9070</CharactersWithSpaces>
  <SharedDoc>false</SharedDoc>
  <HLinks>
    <vt:vector size="12" baseType="variant">
      <vt:variant>
        <vt:i4>4653148</vt:i4>
      </vt:variant>
      <vt:variant>
        <vt:i4>30</vt:i4>
      </vt:variant>
      <vt:variant>
        <vt:i4>0</vt:i4>
      </vt:variant>
      <vt:variant>
        <vt:i4>5</vt:i4>
      </vt:variant>
      <vt:variant>
        <vt:lpwstr>http://www.cs.stir.ac.uk/research</vt:lpwstr>
      </vt:variant>
      <vt:variant>
        <vt:lpwstr/>
      </vt:variant>
      <vt:variant>
        <vt:i4>720985</vt:i4>
      </vt:variant>
      <vt:variant>
        <vt:i4>0</vt:i4>
      </vt:variant>
      <vt:variant>
        <vt:i4>0</vt:i4>
      </vt:variant>
      <vt:variant>
        <vt:i4>5</vt:i4>
      </vt:variant>
      <vt:variant>
        <vt:lpwstr>http://www.cs.stir.ac.uk/~kjt/research/conformed.html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Anneal: Memory-Constrained LoRA Fine-Tuning of Qwen3.8-27B for Software Engineering at 256k Context</dc:title>
  <dc:subject/>
  <dc:creator>Callum Challinor</dc:creator>
  <cp:lastModifiedBy>Callum Challinor</cp:lastModifiedBy>
  <cp:revision>6</cp:revision>
  <dcterms:created xsi:type="dcterms:W3CDTF">2024-10-10T11:37:00Z</dcterms:created>
  <dcterms:modified xsi:type="dcterms:W3CDTF">2026-10-21T21:27:52Z</dcterms:modified>
</cp:coreProperties>
</file>