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 public and self-generated data can measurably improve the software-development ability of the open-weight Qwen3.8-27B model, when training must fit within the 32 GB of memory allocated to the GPU of one AMD machine and the adapted model must keep its 256k-token context window, and how that gain changes with the amount of training data a months-long run can supply.</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be licensed for research use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a licence-checked, decontaminated training set of tens of thousands of reasoning traces, led by self-generated, test-filtered traces and documented in a data card, before the main run starts.</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with training data, from 2,000 rows to the full main run, and the effect of rank, target modules, example length, data source and base precision through 1,000-row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run.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runtime adapters and MTP speculative decoding.</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Instruction sets; OpenCodeReasoning; self-generated traces; SWE-Gym</w:t>
            </w:r>
          </w:p>
        </w:tc>
        <w:tc>
          <w:tcPr>
            <w:tcW w:w="3996" w:type="dxa"/>
          </w:tcPr>
          <w:p>
            <w:pPr>
              <w:pStyle w:val="BodyText"/>
              <w:keepNext/>
              <w:spacing w:before="20" w:after="20"/>
              <w:jc w:val="left"/>
            </w:pPr>
            <w:r>
              <w:rPr>
                <w:sz w:val="20"/>
              </w:rPr>
              <w:t xml:space="preserve">Self-generated traces on OpenCodeInstruct </w:t>
            </w:r>
            <w:fldSimple w:instr=" REF _RefAnneal20 \r \h ">
              <w:r>
                <w:rPr>
                  <w:sz w:val="20"/>
                </w:rPr>
                <w:t xml:space="preserve">[20]</w:t>
              </w:r>
            </w:fldSimple>
            <w:r>
              <w:rPr>
                <w:sz w:val="20"/>
              </w:rPr>
              <w:t xml:space="preserve"> and CodeContests prompts, kept only if they pass tests, plus OpenCodeReasoning </w:t>
            </w:r>
            <w:fldSimple w:instr=" REF _RefAnneal21 \r \h ">
              <w:r>
                <w:rPr>
                  <w:sz w:val="20"/>
                </w:rPr>
                <w:t xml:space="preserve">[21]</w:t>
              </w:r>
            </w:fldSimple>
            <w:r>
              <w:rPr>
                <w:sz w:val="20"/>
              </w:rPr>
              <w:t xml:space="preserve"> traces, all CC-BY-4.0. Instruction sets lack traces; SWE-Gym </w:t>
            </w:r>
            <w:fldSimple w:instr=" REF _RefAnneal22 \r \h ">
              <w:r>
                <w:rPr>
                  <w:sz w:val="20"/>
                </w:rPr>
                <w:t xml:space="preserve">[22]</w:t>
              </w:r>
            </w:fldSimple>
            <w:r>
              <w:rPr>
                <w:sz w:val="20"/>
              </w:rPr>
              <w:t xml:space="preserve"> trajectories far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and the first real run, a 2,000-row adapter scored against the base model, started on 19 October with scores due on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fig1.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3 \r \h ">
        <w:r>
          <w:t xml:space="preserve">[23]</w:t>
        </w:r>
      </w:fldSimple>
      <w:r>
        <w:t xml:space="preserve">, shrinking this model's loss from about 12.6 GiB to 0.5 GiB. Unsloth also offloads gradient checkpoints to host memory.</w:t>
      </w:r>
    </w:p>
    <w:p>
      <w:pPr>
        <w:pStyle w:val="BodyText"/>
      </w:pPr>
      <w:r>
        <w:t xml:space="preserve">Table 2 decided the precision. An 8-bit base fits only if Unsloth's optimisations work on this chip, whereas a 4-bit base fits on either path and is the setup Unsloth documents for this model </w:t>
      </w:r>
      <w:fldSimple w:instr=" REF _RefAnneal7 \r \h ">
        <w:r>
          <w:t xml:space="preserve">[7]</w:t>
        </w:r>
      </w:fldSimple>
      <w:r>
        <w:t xml:space="preserve">;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The main run trains on every test-passing trace that about six weeks of generation can produce. </w:t>
      </w:r>
      <w:r>
        <w:rPr>
          <w:rFonts w:ascii="Consolas" w:hAnsi="Consolas" w:cs="Consolas"/>
          <w:sz w:val="19"/>
        </w:rPr>
        <w:t xml:space="preserve">generate_traces.py</w:t>
      </w:r>
      <w:r>
        <w:t xml:space="preserve"> sends OpenCodeInstruct prompts with assert tests and CodeContests </w:t>
      </w:r>
      <w:fldSimple w:instr=" REF _RefAnneal24 \r \h ">
        <w:r>
          <w:t xml:space="preserve">[24]</w:t>
        </w:r>
      </w:fldSimple>
      <w:r>
        <w:t xml:space="preserve"> problems with stdin/stdout tests to the base model, keeps passing answers, and retries failures in a second round with the best ablation adapter. This follows ReST-EM, whose binary-filtered self-training surpassed fine-tuning on human data alone </w:t>
      </w:r>
      <w:fldSimple w:instr=" REF _RefAnneal25 \r \h ">
        <w:r>
          <w:t xml:space="preserve">[25]</w:t>
        </w:r>
      </w:fldSimple>
      <w:r>
        <w:t xml:space="preserve">; in the first run the base model passed 54% of attempts, about 27 kept rows an hour. Another 5% are the model's own answers to general Nemotron </w:t>
      </w:r>
      <w:fldSimple w:instr=" REF _RefAnneal26 \r \h ">
        <w:r>
          <w:t xml:space="preserve">[26]</w:t>
        </w:r>
      </w:fldSimple>
      <w:r>
        <w:t xml:space="preserve"> prompts, to limit forgetting. OpenCodeReasoning fills the rest, up to three traces per question, but its teacher, DeepSeek-R1, scores 63.5 on LiveCodeBench (August 2024 to May 2025) </w:t>
      </w:r>
      <w:fldSimple w:instr=" REF _RefAnneal27 \r \h ">
        <w:r>
          <w:t xml:space="preserve">[27]</w:t>
        </w:r>
      </w:fldSimple>
      <w:r>
        <w:t xml:space="preserve"> against 90.3 reported for Qwen3.8-27B on v6 </w:t>
      </w:r>
      <w:fldSimple w:instr=" REF _RefAnneal2 \r \h ">
        <w:r>
          <w:t xml:space="preserve">[2]</w:t>
        </w:r>
      </w:fldSimple>
      <w:r>
        <w:t xml:space="preserve">, so it is dropped if its 1,000-row ablation does not beat the base model.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rather than truncates rows over 8,192 tokens, and removes any sharing a 13-token window with, or above 0.8 Jaccard similarity to, an evaluation prompt.</w:t>
      </w:r>
    </w:p>
    <w:p>
      <w:pPr>
        <w:pStyle w:val="BodyText"/>
      </w:pPr>
      <w:r>
        <w:t xml:space="preserve">Model-written code runs in a sandbox needing no administrator rights, a Windows AppContainer without network or file access inside a job object that limits processes, memory and time; it passed 264 escape checks, and 97.5% of reference solutions pass inside it. The main weakness is a bias towards short reasoning: traces that hit the 6,144-token budget (16% of attempts) are rejected, kept traces have a median of 436 tokens, and only about half of OpenCodeReasoning fits in 8,192 tokens. The data card therefore tabulates difficulty, and reasoning length is compared at every checkpoint.</w:t>
      </w:r>
    </w:p>
    <w:p>
      <w:pPr>
        <w:pStyle w:val="Heading2"/>
      </w:pPr>
      <w:r>
        <w:t xml:space="preserve">Training</w:t>
      </w:r>
    </w:p>
    <w:p>
      <w:pPr>
        <w:pStyle w:val="BodyFirst"/>
      </w:pPr>
      <w:r>
        <w:rPr>
          <w:rFonts w:ascii="Consolas" w:hAnsi="Consolas" w:cs="Consolas"/>
          <w:sz w:val="19"/>
        </w:rPr>
        <w:t xml:space="preserve">train_longrun.py</w:t>
      </w:r>
      <w:r>
        <w:t xml:space="preserve"> makes one pass over the data with a warmup-stable-decay schedule, which scales as reliably as cosine decay </w:t>
      </w:r>
      <w:fldSimple w:instr=" REF _RefAnneal28 \r \h ">
        <w:r>
          <w:t xml:space="preserve">[28]</w:t>
        </w:r>
      </w:fldSimple>
      <w:r>
        <w:t xml:space="preserve"> but lets a cool-down branch from any point. Decay branches from the checkpoints at 2,000, 8,000 and 20,000 rows therefore turn one run into a data-scaling curve (Listing 1). To survive crashes and updates over months, the trainer saves every 10 steps, resumes when the same command is re-run, pauses cleanly on a STOP file, and refuses to resume if the training file's SHA-256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grad_accum: 8                  # 8 rows per optimiser step</w:t>
      </w:r>
    </w:p>
    <w:p>
      <w:pPr>
        <w:pStyle w:val="BodyText"/>
        <w:keepNext/>
        <w:spacing w:before="0" w:after="0"/>
        <w:ind w:left="284"/>
        <w:jc w:val="left"/>
      </w:pPr>
      <w:r>
        <w:rPr>
          <w:rFonts w:ascii="Consolas" w:hAnsi="Consolas" w:cs="Consolas"/>
          <w:sz w:val="17"/>
        </w:rPr>
        <w:t xml:space="preserve">lora_r: 64                     # set by ablation A1</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in_proj_qkv, in_proj_z, out_proj]</w:t>
      </w:r>
    </w:p>
    <w:p>
      <w:pPr>
        <w:pStyle w:val="BodyText"/>
        <w:keepNext/>
        <w:spacing w:before="0" w:after="0"/>
        <w:ind w:left="284"/>
        <w:jc w:val="left"/>
      </w:pPr>
      <w:r>
        <w:rPr>
          <w:rFonts w:ascii="Consolas" w:hAnsi="Consolas" w:cs="Consolas"/>
          <w:sz w:val="17"/>
        </w:rPr>
        <w:t xml:space="preserve">schedule: wsd                  # warmup-stable-decay</w:t>
      </w:r>
    </w:p>
    <w:p>
      <w:pPr>
        <w:pStyle w:val="BodyText"/>
        <w:keepNext/>
        <w:spacing w:before="0" w:after="0"/>
        <w:ind w:left="284"/>
        <w:jc w:val="left"/>
      </w:pPr>
      <w:r>
        <w:rPr>
          <w:rFonts w:ascii="Consolas" w:hAnsi="Consolas" w:cs="Consolas"/>
          <w:sz w:val="17"/>
        </w:rPr>
        <w:t xml:space="preserve">milestone_steps: [250, 1000, 2500]   # 2k, 8k and 20k rows</w:t>
      </w:r>
    </w:p>
    <w:p>
      <w:pPr>
        <w:pStyle w:val="BodyText"/>
        <w:keepNext/>
        <w:spacing w:before="0" w:after="0"/>
        <w:ind w:left="284"/>
        <w:jc w:val="left"/>
      </w:pPr>
      <w:r>
        <w:rPr>
          <w:rFonts w:ascii="Consolas" w:hAnsi="Consolas" w:cs="Consolas"/>
          <w:sz w:val="17"/>
        </w:rPr>
        <w:t xml:space="preserve">save_steps: 10                 # every 80 rows</w:t>
      </w:r>
    </w:p>
    <w:p>
      <w:pPr>
        <w:pStyle w:val="BodyCentre"/>
        <w:keepNext/>
        <w:spacing w:before="120" w:after="60"/>
      </w:pPr>
      <w:r>
        <w:rPr>
          <w:b/>
          <w:sz w:val="20"/>
        </w:rPr>
        <w:t xml:space="preserve">Listing 1.</w:t>
      </w:r>
      <w:r>
        <w:rPr>
          <w:sz w:val="20"/>
        </w:rPr>
        <w:t xml:space="preserve"> Excerpt of the main-run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 At that rate the 59-day main run covers about 490 million tokens, or 110,000 rows at the planned 4,500-token mean with OpenCodeReasoning, an estimate until A1 and A2 measure the main-run adapter.</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included the template's system prompt, which the model never predicts;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which slowed them to 0.94 times: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Weaknesses remain. Speed and memory were measured with an adapter about a fifth the size of the main run's, and the first run's scores will be the first evidence that training helps. The Windows workarounds (a bundled C compiler, the convolution rewrite, disabled Vulkan kernels) could break on an update, so versions are pinned, and slower prompt processing lengthens the 256k-token evaluations. With 20 to 50 personal tasks, confidence intervals will be wide.</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Both systems share every setting, so the comparison stays fair, though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a 100-question non-coding set, at every checkpoint</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Scores at 2,000, 8,000 and 20,000 rows and for the final adapter (one seed); 1,000-row ablations</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The scaling curve is the main research question beyond O3. Published results suggest small, flattening gains: supervised fine-tuning gains are log-linear in data and smaller for stronger models </w:t>
      </w:r>
      <w:fldSimple w:instr=" REF _RefAnneal29 \r \h ">
        <w:r>
          <w:t xml:space="preserve">[29]</w:t>
        </w:r>
      </w:fldSimple>
      <w:r>
        <w:t xml:space="preserve">, and LoRA learns less than full fine-tuning and forgets more the longer it trains </w:t>
      </w:r>
      <w:fldSimple w:instr=" REF _RefAnneal8 \r \h ">
        <w:r>
          <w:t xml:space="preserve">[8]</w:t>
        </w:r>
      </w:fldSimple>
      <w:r>
        <w:t xml:space="preserve">. The first 2,000-row run, half from a weaker teacher, may show no clear gain; a flat curve is a result, not a failure, and shows how much data is worth the machine time.</w:t>
      </w:r>
    </w:p>
    <w:p>
      <w:pPr>
        <w:pStyle w:val="BodyText"/>
      </w:pPr>
      <w:r>
        <w:rPr>
          <w:b/>
        </w:rPr>
        <w:t xml:space="preserve">Ablations.</w:t>
      </w:r>
      <w:r>
        <w:t xml:space="preserve"> Run on 1,000 rows before the main run, each changes one factor: A1 rank (16, 64); A2 adding the DeltaNet targets; A3 example length (4,096, 8,192); A4 data source, which decides whether OpenCodeReasoning is used; A5 long examples or trainable normalisation, only if a checkpoint fails O4;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every training prompt source predates that date, so these problems are clean by date. General rows are also decontaminated against the non-coding questions.</w:t>
      </w:r>
    </w:p>
    <w:p>
      <w:pPr>
        <w:pStyle w:val="Heading1"/>
      </w:pPr>
      <w:r>
        <w:t xml:space="preserve">Project Plan</w:t>
      </w:r>
    </w:p>
    <w:p>
      <w:pPr>
        <w:pStyle w:val="BodyFirst"/>
      </w:pPr>
      <w:r>
        <w:t xml:space="preserve">Bring-up finished early and the first real run is under way (Section 3.4), so the plan starts with its scores and the main-run adapter's measurements, which everything else depends on. Of about 136 usable machine days from November to March, roughly 42 go to generation, 15 to ablations, 20 to evaluation and 59 to the main run,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First run: 1,000 generated and 1,000 OpenCodeReasoning rows, trained and scored against the base by 21 October. Measure the main-run adapter. Round-1 generation continues.</w:t>
            </w:r>
          </w:p>
        </w:tc>
        <w:tc>
          <w:tcPr>
            <w:tcW w:w="2396" w:type="dxa"/>
          </w:tcPr>
          <w:p>
            <w:pPr>
              <w:pStyle w:val="BodyText"/>
              <w:keepNext/>
              <w:spacing w:before="20" w:after="20"/>
              <w:jc w:val="left"/>
            </w:pPr>
            <w:r>
              <w:rPr>
                <w:sz w:val="20"/>
              </w:rPr>
              <w:t xml:space="preserve">First before-and-after scores; main-run size</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A1 to A4 between generation batches.</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Generation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Round-1 generation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Round-2 generation with the best ablation adapter. Build and pin the main mix. Start the main run.</w:t>
            </w:r>
          </w:p>
        </w:tc>
        <w:tc>
          <w:tcPr>
            <w:tcW w:w="2396" w:type="dxa"/>
          </w:tcPr>
          <w:p>
            <w:pPr>
              <w:pStyle w:val="BodyText"/>
              <w:keepNext/>
              <w:spacing w:before="20" w:after="20"/>
              <w:jc w:val="left"/>
            </w:pPr>
            <w:r>
              <w:rPr>
                <w:sz w:val="20"/>
              </w:rPr>
              <w:t xml:space="preserve">Data card (O2); main run under way</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Main run continues. Interim demo. Evaluate the 2,000-row branch.</w:t>
            </w:r>
          </w:p>
        </w:tc>
        <w:tc>
          <w:tcPr>
            <w:tcW w:w="2396" w:type="dxa"/>
          </w:tcPr>
          <w:p>
            <w:pPr>
              <w:pStyle w:val="BodyText"/>
              <w:keepNext/>
              <w:spacing w:before="20" w:after="20"/>
              <w:jc w:val="left"/>
            </w:pPr>
            <w:r>
              <w:rPr>
                <w:sz w:val="20"/>
              </w:rPr>
              <w:t xml:space="preserve">First scaling point</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Main run continues. Evaluate the 8,000-row branch.</w:t>
            </w:r>
          </w:p>
        </w:tc>
        <w:tc>
          <w:tcPr>
            <w:tcW w:w="2396" w:type="dxa"/>
          </w:tcPr>
          <w:p>
            <w:pPr>
              <w:pStyle w:val="BodyText"/>
              <w:keepNext/>
              <w:spacing w:before="20" w:after="20"/>
              <w:jc w:val="left"/>
            </w:pPr>
            <w:r>
              <w:rPr>
                <w:sz w:val="20"/>
              </w:rPr>
              <w:t xml:space="preserve">Second scaling point</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Main run continues. Evaluate the 20,000-row branch. Poster session.</w:t>
            </w:r>
          </w:p>
        </w:tc>
        <w:tc>
          <w:tcPr>
            <w:tcW w:w="2396" w:type="dxa"/>
          </w:tcPr>
          <w:p>
            <w:pPr>
              <w:pStyle w:val="BodyText"/>
              <w:keepNext/>
              <w:spacing w:before="20" w:after="20"/>
              <w:jc w:val="left"/>
            </w:pPr>
            <w:r>
              <w:rPr>
                <w:sz w:val="20"/>
              </w:rPr>
              <w:t xml:space="preserve">Third scaling point;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Main run ends. Three-seed evaluation of the final adapter.</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The main risks have planned responses. If a driver or package update breaks the Windows stack, the pinned versions are reinstalled, with WSL2 as a fallback. If the main-run adapter trains much slower than measured, the main run uses fewer rows, and the earlier checkpoints still give a complete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41">
        <w:r>
          <w:rPr>
            <w:color w:val="0563C1"/>
            <w:u w:val="single"/>
          </w:rPr>
          <w:t xml:space="preserve">https://arxiv.org/abs/2504.04030</w:t>
        </w:r>
      </w:hyperlink>
      <w:bookmarkEnd w:id="920"/>
    </w:p>
    <w:p>
      <w:pPr>
        <w:pStyle w:val="Reference"/>
        <w:tabs>
          <w:tab w:val="clear" w:pos="426"/>
          <w:tab w:val="num" w:pos="567"/>
        </w:tabs>
        <w:ind w:left="567" w:hanging="567"/>
        <w:jc w:val="left"/>
      </w:pPr>
      <w:bookmarkStart w:id="921" w:name="_RefAnneal21"/>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2">
        <w:r>
          <w:rPr>
            <w:color w:val="0563C1"/>
            <w:u w:val="single"/>
          </w:rPr>
          <w:t xml:space="preserve">https://arxiv.org/abs/2504.01943</w:t>
        </w:r>
      </w:hyperlink>
      <w:bookmarkEnd w:id="921"/>
    </w:p>
    <w:p>
      <w:pPr>
        <w:pStyle w:val="Reference"/>
        <w:tabs>
          <w:tab w:val="clear" w:pos="426"/>
          <w:tab w:val="num" w:pos="567"/>
        </w:tabs>
        <w:ind w:left="567" w:hanging="567"/>
        <w:jc w:val="left"/>
      </w:pPr>
      <w:bookmarkStart w:id="922" w:name="_RefAnneal22"/>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3">
        <w:r>
          <w:rPr>
            <w:color w:val="0563C1"/>
            <w:u w:val="single"/>
          </w:rPr>
          <w:t xml:space="preserve">https://proceedings.mlr.press/v267/pan25g.html</w:t>
        </w:r>
      </w:hyperlink>
      <w:bookmarkEnd w:id="922"/>
    </w:p>
    <w:p>
      <w:pPr>
        <w:pStyle w:val="Reference"/>
        <w:tabs>
          <w:tab w:val="clear" w:pos="426"/>
          <w:tab w:val="num" w:pos="567"/>
        </w:tabs>
        <w:ind w:left="567" w:hanging="567"/>
        <w:jc w:val="left"/>
      </w:pPr>
      <w:bookmarkStart w:id="923" w:name="_RefAnneal23"/>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4">
        <w:r>
          <w:rPr>
            <w:color w:val="0563C1"/>
            <w:u w:val="single"/>
          </w:rPr>
          <w:t xml:space="preserve">https://arxiv.org/abs/2411.09009</w:t>
        </w:r>
      </w:hyperlink>
      <w:bookmarkEnd w:id="923"/>
    </w:p>
    <w:p>
      <w:pPr>
        <w:pStyle w:val="Reference"/>
        <w:tabs>
          <w:tab w:val="clear" w:pos="426"/>
          <w:tab w:val="num" w:pos="567"/>
        </w:tabs>
        <w:ind w:left="567" w:hanging="567"/>
        <w:jc w:val="left"/>
      </w:pPr>
      <w:bookmarkStart w:id="924" w:name="_RefAnneal24"/>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45">
        <w:r>
          <w:rPr>
            <w:color w:val="0563C1"/>
            <w:u w:val="single"/>
          </w:rPr>
          <w:t xml:space="preserve">https://arxiv.org/abs/2203.07814</w:t>
        </w:r>
      </w:hyperlink>
      <w:bookmarkEnd w:id="924"/>
    </w:p>
    <w:p>
      <w:pPr>
        <w:pStyle w:val="Reference"/>
        <w:tabs>
          <w:tab w:val="clear" w:pos="426"/>
          <w:tab w:val="num" w:pos="567"/>
        </w:tabs>
        <w:ind w:left="567" w:hanging="567"/>
        <w:jc w:val="left"/>
      </w:pPr>
      <w:bookmarkStart w:id="925" w:name="_RefAnneal25"/>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46">
        <w:r>
          <w:rPr>
            <w:color w:val="0563C1"/>
            <w:u w:val="single"/>
          </w:rPr>
          <w:t xml:space="preserve">https://arxiv.org/abs/2312.06585</w:t>
        </w:r>
      </w:hyperlink>
      <w:bookmarkEnd w:id="925"/>
    </w:p>
    <w:p>
      <w:pPr>
        <w:pStyle w:val="Reference"/>
        <w:tabs>
          <w:tab w:val="clear" w:pos="426"/>
          <w:tab w:val="num" w:pos="567"/>
        </w:tabs>
        <w:ind w:left="567" w:hanging="567"/>
        <w:jc w:val="left"/>
      </w:pPr>
      <w:bookmarkStart w:id="926" w:name="_RefAnneal26"/>
      <w:r>
        <w:t xml:space="preserve">NVIDIA, "Nemotron-Post-Training-Dataset-v1," Hugging Face dataset card, 2025. </w:t>
      </w:r>
      <w:r>
        <w:t xml:space="preserve">[Online]. Available: </w:t>
      </w:r>
      <w:hyperlink r:id="rId47">
        <w:r>
          <w:rPr>
            <w:color w:val="0563C1"/>
            <w:u w:val="single"/>
          </w:rPr>
          <w:t xml:space="preserve">https://huggingface.co/datasets/nvidia/Nemotron-Post-Training-Dataset-v1</w:t>
        </w:r>
      </w:hyperlink>
      <w:r>
        <w:t xml:space="preserve"> (accessed Oct. 17, 2026).</w:t>
      </w:r>
      <w:bookmarkEnd w:id="926"/>
    </w:p>
    <w:p>
      <w:pPr>
        <w:pStyle w:val="Reference"/>
        <w:tabs>
          <w:tab w:val="clear" w:pos="426"/>
          <w:tab w:val="num" w:pos="567"/>
        </w:tabs>
        <w:ind w:left="567" w:hanging="567"/>
        <w:jc w:val="left"/>
      </w:pPr>
      <w:bookmarkStart w:id="927" w:name="_RefAnneal27"/>
      <w:r>
        <w:t xml:space="preserve">DeepSeek-AI, "DeepSeek-R1-0528," Hugging Face model card, 2025. </w:t>
      </w:r>
      <w:r>
        <w:t xml:space="preserve">[Online]. Available: </w:t>
      </w:r>
      <w:hyperlink r:id="rId48">
        <w:r>
          <w:rPr>
            <w:color w:val="0563C1"/>
            <w:u w:val="single"/>
          </w:rPr>
          <w:t xml:space="preserve">https://huggingface.co/deepseek-ai/DeepSeek-R1-0528</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A. Hägele, E. Bakouch, A. Kosson, L. Ben Allal, L. Von Werra, and M. Jaggi, "Scaling laws and compute-optimal training beyond fixed training durations," arXiv preprint arXiv:2405.18392, 2024. </w:t>
      </w:r>
      <w:r>
        <w:t xml:space="preserve">[Online]. Available: </w:t>
      </w:r>
      <w:hyperlink r:id="rId49">
        <w:r>
          <w:rPr>
            <w:color w:val="0563C1"/>
            <w:u w:val="single"/>
          </w:rPr>
          <w:t xml:space="preserve">https://arxiv.org/abs/2405.18392</w:t>
        </w:r>
      </w:hyperlink>
      <w:bookmarkEnd w:id="928"/>
    </w:p>
    <w:p>
      <w:pPr>
        <w:pStyle w:val="Reference"/>
        <w:tabs>
          <w:tab w:val="clear" w:pos="426"/>
          <w:tab w:val="num" w:pos="567"/>
        </w:tabs>
        <w:ind w:left="567" w:hanging="567"/>
        <w:jc w:val="left"/>
      </w:pPr>
      <w:bookmarkStart w:id="929" w:name="_RefAnneal29"/>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0">
        <w:r>
          <w:rPr>
            <w:color w:val="0563C1"/>
            <w:u w:val="single"/>
          </w:rPr>
          <w:t xml:space="preserve">https://arxiv.org/abs/2308.01825</w:t>
        </w:r>
      </w:hyperlink>
      <w:bookmarkEnd w:id="929"/>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arxiv.org/abs/2504.04030" TargetMode="External"/><Relationship Id="rId42" Type="http://schemas.openxmlformats.org/officeDocument/2006/relationships/hyperlink" Target="https://arxiv.org/abs/2504.01943" TargetMode="External"/><Relationship Id="rId43" Type="http://schemas.openxmlformats.org/officeDocument/2006/relationships/hyperlink" Target="https://proceedings.mlr.press/v267/pan25g.html" TargetMode="External"/><Relationship Id="rId44" Type="http://schemas.openxmlformats.org/officeDocument/2006/relationships/hyperlink" Target="https://arxiv.org/abs/2411.09009" TargetMode="External"/><Relationship Id="rId45" Type="http://schemas.openxmlformats.org/officeDocument/2006/relationships/hyperlink" Target="https://arxiv.org/abs/2203.07814" TargetMode="External"/><Relationship Id="rId46" Type="http://schemas.openxmlformats.org/officeDocument/2006/relationships/hyperlink" Target="https://arxiv.org/abs/2312.06585" TargetMode="External"/><Relationship Id="rId47" Type="http://schemas.openxmlformats.org/officeDocument/2006/relationships/hyperlink" Target="https://huggingface.co/datasets/nvidia/Nemotron-Post-Training-Dataset-v1" TargetMode="External"/><Relationship Id="rId48" Type="http://schemas.openxmlformats.org/officeDocument/2006/relationships/hyperlink" Target="https://huggingface.co/deepseek-ai/DeepSeek-R1-0528" TargetMode="External"/><Relationship Id="rId49" Type="http://schemas.openxmlformats.org/officeDocument/2006/relationships/hyperlink" Target="https://arxiv.org/abs/2405.18392" TargetMode="External"/><Relationship Id="rId50"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dc:creator>
  <cp:lastModifiedBy>Callum Challinor</cp:lastModifiedBy>
  <cp:revision>6</cp:revision>
  <dcterms:created xsi:type="dcterms:W3CDTF">2024-10-10T11:37:00Z</dcterms:created>
  <dcterms:modified xsi:type="dcterms:W3CDTF">2026-10-03T13:09:00Z</dcterms:modified>
</cp:coreProperties>
</file>