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AttriSense</w:t>
      </w:r>
    </w:p>
    <w:p>
      <w:pPr>
        <w:sectPr>
          <w:pgSz w:w="12240" w:h="15840"/>
          <w:pgMar w:top="1080" w:right="900" w:bottom="1440" w:left="900" w:header="720" w:footer="720" w:gutter="0"/>
          <w:cols w:space="720"/>
          <w:docGrid w:linePitch="360"/>
        </w:sectPr>
      </w:pPr>
    </w:p>
    <w:p>
      <w:pPr>
        <w:spacing w:before="160" w:after="80"/>
        <w:jc w:val="center"/>
      </w:pPr>
      <w:r>
        <w:rPr>
          <w:rFonts w:ascii="Times New Roman" w:hAnsi="Times New Roman"/>
          <w:b/>
          <w:sz w:val="20"/>
        </w:rPr>
        <w:t>I. ATTRISENSE: AN END-TO-END WORKFORCE ATTRITION SYSTEM WITH FAIRNESS-GATED CAUSAL RECOMMENDATIONS AND PRIVACY-PRESERVING EXPLANATIONS</w:t>
      </w:r>
    </w:p>
    <w:p>
      <w:pPr>
        <w:spacing w:after="40"/>
        <w:ind w:firstLine="288"/>
        <w:jc w:val="both"/>
      </w:pPr>
      <w:r>
        <w:rPr>
          <w:rFonts w:ascii="Times New Roman" w:hAnsi="Times New Roman"/>
          <w:b w:val="0"/>
          <w:i w:val="0"/>
          <w:sz w:val="20"/>
        </w:rPr>
        <w:t>Author: Kundan Vanama (Independent Researcher) — affiliation TBD — ORCID 0000-0000-0000-0000 — vanama@example.com</w:t>
      </w:r>
    </w:p>
    <w:p>
      <w:pPr>
        <w:spacing w:after="40"/>
        <w:ind w:firstLine="288"/>
        <w:jc w:val="both"/>
      </w:pPr>
      <w:r>
        <w:rPr>
          <w:rFonts w:ascii="Times New Roman" w:hAnsi="Times New Roman"/>
          <w:b w:val="0"/>
          <w:i w:val="0"/>
          <w:sz w:val="20"/>
        </w:rPr>
        <w:t>&gt; Patent pending — US Provisional Application (filing in progress). &gt; The seven claims of the provisional map one-to-one to the contributions &gt; in this paper. See patent/01_patent_strategy.md and &gt; patent/02_provisional_application_draft.md.</w:t>
      </w:r>
    </w:p>
    <w:p>
      <w:pPr>
        <w:jc w:val="both"/>
      </w:pPr>
      <w:r>
        <w:rPr>
          <w:rFonts w:ascii="Times New Roman" w:hAnsi="Times New Roman"/>
          <w:b/>
          <w:i/>
          <w:sz w:val="18"/>
        </w:rPr>
        <w:t>Abstract—</w:t>
      </w:r>
      <w:r>
        <w:rPr>
          <w:rFonts w:ascii="Times New Roman" w:hAnsi="Times New Roman"/>
          <w:b w:val="0"/>
          <w:i w:val="0"/>
          <w:sz w:val="18"/>
        </w:rPr>
        <w:t>Workforce-attrition tools deployed in industry today emit per-employee risk scores against raw identifiers, recommend interventions selected by historical correlation rather than causal effect, and surface fairness issues — if at all — only after recommendations have already been circulated. We present AttriSense, an end-to-end system that addresses all three gaps simultaneously. AttriSense (i) emits calibrated flight-risk probabilities from a gradient-boosted classifier; (ii) routes those probabilities through a per-protected-group four-fifths fairness gate that suppresses rather than flags non-compliant cohorts; (iii) selects the highest-uplift retention intervention via a T-learner Conditional Average Treatment Effect (CATE) over three intervention arms; (iv) exposes per-employee SHAP attributions under salted pseudonymous identifiers; and (v) maintains availability of NL→SQL and multilingual RAG surfaces via a deterministic local-embedding fallback when external LLM providers are unreachable. We evaluate on a 5,000-employee synthetic HR corpus, reporting calibration (ECE = 0.038), discrimination (AUC = 0.872), uplift quality (Qini = 0.187 vs. 0.041 for a correlation baseline), fairness compliance (3 of 11 cohorts gate-suppressed), and end-to-end latency (p95 = 410 ms). The system, dataset generator, and 13-surface dashboard are released open source.</w:t>
      </w:r>
    </w:p>
    <w:p>
      <w:pPr>
        <w:spacing w:after="40"/>
        <w:ind w:firstLine="288"/>
        <w:jc w:val="both"/>
      </w:pPr>
      <w:r>
        <w:rPr>
          <w:rFonts w:ascii="Times New Roman" w:hAnsi="Times New Roman"/>
          <w:b w:val="0"/>
          <w:i w:val="0"/>
          <w:sz w:val="20"/>
        </w:rPr>
        <w:t>Keywords: employee attrition, causal inference, fairness, four-fifths rule, SHAP, T-learner, retrieval-augmented generation, fallback router, responsible AI, HR analytics.</w:t>
      </w:r>
    </w:p>
    <w:p>
      <w:pPr>
        <w:spacing w:before="160" w:after="80"/>
        <w:jc w:val="center"/>
      </w:pPr>
      <w:r>
        <w:rPr>
          <w:rFonts w:ascii="Times New Roman" w:hAnsi="Times New Roman"/>
          <w:b/>
          <w:sz w:val="20"/>
        </w:rPr>
        <w:t>II. 1. INTRODUCTION</w:t>
      </w:r>
    </w:p>
    <w:p>
      <w:pPr>
        <w:spacing w:after="40"/>
        <w:ind w:firstLine="288"/>
        <w:jc w:val="both"/>
      </w:pPr>
      <w:r>
        <w:rPr>
          <w:rFonts w:ascii="Times New Roman" w:hAnsi="Times New Roman"/>
          <w:b w:val="0"/>
          <w:i w:val="0"/>
          <w:sz w:val="20"/>
        </w:rPr>
        <w:t>US voluntary attrition averaged 14% over the trailing twelve months, representing more than \$1.2T in annual replacement cost. Predictive attrition tools have been commercially available for over a decade and are bundled into every major HRIS suite. Despite this maturity, three documented gaps remain:</w:t>
      </w:r>
    </w:p>
    <w:p>
      <w:pPr>
        <w:pStyle w:val="ListNumber"/>
      </w:pPr>
      <w:r>
        <w:rPr>
          <w:rFonts w:ascii="Times New Roman" w:hAnsi="Times New Roman"/>
          <w:b w:val="0"/>
          <w:i w:val="0"/>
          <w:sz w:val="20"/>
        </w:rPr>
        <w:t>No blocking fairness review. Disparate-impact metrics, when present,</w:t>
      </w:r>
    </w:p>
    <w:p>
      <w:pPr>
        <w:spacing w:after="40"/>
        <w:ind w:firstLine="288"/>
        <w:jc w:val="both"/>
      </w:pPr>
      <w:r>
        <w:rPr>
          <w:rFonts w:ascii="Times New Roman" w:hAnsi="Times New Roman"/>
          <w:b w:val="0"/>
          <w:i w:val="0"/>
          <w:sz w:val="20"/>
        </w:rPr>
        <w:t>are rendered as audit dashboards after recommendations have been circulated. The flagged-but-shipped pattern leaves the bias in the decision path.</w:t>
      </w:r>
    </w:p>
    <w:p>
      <w:pPr>
        <w:pStyle w:val="ListNumber"/>
      </w:pPr>
      <w:r>
        <w:rPr>
          <w:rFonts w:ascii="Times New Roman" w:hAnsi="Times New Roman"/>
          <w:b w:val="0"/>
          <w:i w:val="0"/>
          <w:sz w:val="20"/>
        </w:rPr>
        <w:t>Correlational rather than causal recommendation. Tools rank</w:t>
      </w:r>
    </w:p>
    <w:p>
      <w:pPr>
        <w:spacing w:after="40"/>
        <w:ind w:firstLine="288"/>
        <w:jc w:val="both"/>
      </w:pPr>
      <w:r>
        <w:rPr>
          <w:rFonts w:ascii="Times New Roman" w:hAnsi="Times New Roman"/>
          <w:b w:val="0"/>
          <w:i w:val="0"/>
          <w:sz w:val="20"/>
        </w:rPr>
        <w:t>interventions by their historical correlation with retention, not by their estimated causal effect on the individual employee. Naive correlation can recommend interventions with negative real-world uplift.</w:t>
      </w:r>
    </w:p>
    <w:p>
      <w:pPr>
        <w:pStyle w:val="ListNumber"/>
      </w:pPr>
      <w:r>
        <w:rPr>
          <w:rFonts w:ascii="Times New Roman" w:hAnsi="Times New Roman"/>
          <w:b w:val="0"/>
          <w:i w:val="0"/>
          <w:sz w:val="20"/>
        </w:rPr>
        <w:t>Identifier exposure. Raw employee_id values are displayed alongside</w:t>
      </w:r>
    </w:p>
    <w:p>
      <w:pPr>
        <w:spacing w:after="40"/>
        <w:ind w:firstLine="288"/>
        <w:jc w:val="both"/>
      </w:pPr>
      <w:r>
        <w:rPr>
          <w:rFonts w:ascii="Times New Roman" w:hAnsi="Times New Roman"/>
          <w:b w:val="0"/>
          <w:i w:val="0"/>
          <w:sz w:val="20"/>
        </w:rPr>
        <w:t>model outputs, enabling unintended re-identification under typical role-based access controls.</w:t>
      </w:r>
    </w:p>
    <w:p>
      <w:pPr>
        <w:spacing w:after="40"/>
        <w:ind w:firstLine="288"/>
        <w:jc w:val="both"/>
      </w:pPr>
      <w:r>
        <w:rPr>
          <w:rFonts w:ascii="Times New Roman" w:hAnsi="Times New Roman"/>
          <w:b w:val="0"/>
          <w:i w:val="0"/>
          <w:sz w:val="20"/>
        </w:rPr>
        <w:t>This paper presents AttriSense, a system that closes all three gaps in a single Streamlit-served application running on commodity hardware. Section 3 describes the six-module architecture; Sections 4–7 detail the four core technical contributions; Section 8 reports the empirical evaluation; Sections 9–11 discuss limitations, ethics, and conclusions.</w:t>
      </w:r>
    </w:p>
    <w:p>
      <w:pPr>
        <w:spacing w:after="40"/>
        <w:ind w:firstLine="288"/>
        <w:jc w:val="both"/>
      </w:pPr>
      <w:r>
        <w:rPr>
          <w:rFonts w:ascii="Times New Roman" w:hAnsi="Times New Roman"/>
          <w:b w:val="0"/>
          <w:i w:val="0"/>
          <w:sz w:val="20"/>
        </w:rPr>
        <w:t>Patent alignment. The system has been disclosed in a US provisional application whose claims map 1:1 to the contributions in this paper:</w:t>
      </w:r>
    </w:p>
    <w:tbl>
      <w:tblPr>
        <w:tblStyle w:val="LightGrid-Accent1"/>
        <w:tblW w:type="auto" w:w="0"/>
        <w:tblLook w:firstColumn="1" w:firstRow="1" w:lastColumn="0" w:lastRow="0" w:noHBand="0" w:noVBand="1" w:val="04A0"/>
      </w:tblPr>
      <w:tblGrid>
        <w:gridCol w:w="5220"/>
        <w:gridCol w:w="5220"/>
      </w:tblGrid>
      <w:tr>
        <w:tc>
          <w:tcPr>
            <w:tcW w:type="dxa" w:w="5220"/>
          </w:tcPr>
          <w:p>
            <w:r/>
            <w:r>
              <w:rPr>
                <w:rFonts w:ascii="Times New Roman" w:hAnsi="Times New Roman"/>
                <w:b/>
                <w:sz w:val="18"/>
              </w:rPr>
              <w:t>Paper section</w:t>
            </w:r>
          </w:p>
        </w:tc>
        <w:tc>
          <w:tcPr>
            <w:tcW w:type="dxa" w:w="5220"/>
          </w:tcPr>
          <w:p>
            <w:r/>
            <w:r>
              <w:rPr>
                <w:rFonts w:ascii="Times New Roman" w:hAnsi="Times New Roman"/>
                <w:b/>
                <w:sz w:val="18"/>
              </w:rPr>
              <w:t>Patent claim</w:t>
            </w:r>
          </w:p>
        </w:tc>
      </w:tr>
      <w:tr>
        <w:tc>
          <w:tcPr>
            <w:tcW w:type="dxa" w:w="5220"/>
          </w:tcPr>
          <w:p>
            <w:r/>
            <w:r>
              <w:rPr>
                <w:rFonts w:ascii="Times New Roman" w:hAnsi="Times New Roman"/>
                <w:sz w:val="18"/>
              </w:rPr>
              <w:t>§4 Fairness as gate</w:t>
            </w:r>
          </w:p>
        </w:tc>
        <w:tc>
          <w:tcPr>
            <w:tcW w:type="dxa" w:w="5220"/>
          </w:tcPr>
          <w:p>
            <w:r/>
            <w:r>
              <w:rPr>
                <w:rFonts w:ascii="Times New Roman" w:hAnsi="Times New Roman"/>
                <w:sz w:val="18"/>
              </w:rPr>
              <w:t>Claim 1 (system, step 3)</w:t>
            </w:r>
          </w:p>
        </w:tc>
      </w:tr>
      <w:tr>
        <w:tc>
          <w:tcPr>
            <w:tcW w:type="dxa" w:w="5220"/>
          </w:tcPr>
          <w:p>
            <w:r/>
            <w:r>
              <w:rPr>
                <w:rFonts w:ascii="Times New Roman" w:hAnsi="Times New Roman"/>
                <w:sz w:val="18"/>
              </w:rPr>
              <w:t>§5 Causal CATE</w:t>
            </w:r>
          </w:p>
        </w:tc>
        <w:tc>
          <w:tcPr>
            <w:tcW w:type="dxa" w:w="5220"/>
          </w:tcPr>
          <w:p>
            <w:r/>
            <w:r>
              <w:rPr>
                <w:rFonts w:ascii="Times New Roman" w:hAnsi="Times New Roman"/>
                <w:sz w:val="18"/>
              </w:rPr>
              <w:t>Claim 3</w:t>
            </w:r>
          </w:p>
        </w:tc>
      </w:tr>
      <w:tr>
        <w:tc>
          <w:tcPr>
            <w:tcW w:type="dxa" w:w="5220"/>
          </w:tcPr>
          <w:p>
            <w:r/>
            <w:r>
              <w:rPr>
                <w:rFonts w:ascii="Times New Roman" w:hAnsi="Times New Roman"/>
                <w:sz w:val="18"/>
              </w:rPr>
              <w:t>§6 Salted Review_ID</w:t>
            </w:r>
          </w:p>
        </w:tc>
        <w:tc>
          <w:tcPr>
            <w:tcW w:type="dxa" w:w="5220"/>
          </w:tcPr>
          <w:p>
            <w:r/>
            <w:r>
              <w:rPr>
                <w:rFonts w:ascii="Times New Roman" w:hAnsi="Times New Roman"/>
                <w:sz w:val="18"/>
              </w:rPr>
              <w:t>Claim 2</w:t>
            </w:r>
          </w:p>
        </w:tc>
      </w:tr>
      <w:tr>
        <w:tc>
          <w:tcPr>
            <w:tcW w:type="dxa" w:w="5220"/>
          </w:tcPr>
          <w:p>
            <w:r/>
            <w:r>
              <w:rPr>
                <w:rFonts w:ascii="Times New Roman" w:hAnsi="Times New Roman"/>
                <w:sz w:val="18"/>
              </w:rPr>
              <w:t>§7 Provider-fallback router</w:t>
            </w:r>
          </w:p>
        </w:tc>
        <w:tc>
          <w:tcPr>
            <w:tcW w:type="dxa" w:w="5220"/>
          </w:tcPr>
          <w:p>
            <w:r/>
            <w:r>
              <w:rPr>
                <w:rFonts w:ascii="Times New Roman" w:hAnsi="Times New Roman"/>
                <w:sz w:val="18"/>
              </w:rPr>
              <w:t>Claims 4, 5</w:t>
            </w:r>
          </w:p>
        </w:tc>
      </w:tr>
      <w:tr>
        <w:tc>
          <w:tcPr>
            <w:tcW w:type="dxa" w:w="5220"/>
          </w:tcPr>
          <w:p>
            <w:r/>
            <w:r>
              <w:rPr>
                <w:rFonts w:ascii="Times New Roman" w:hAnsi="Times New Roman"/>
                <w:sz w:val="18"/>
              </w:rPr>
              <w:t>Whole system</w:t>
            </w:r>
          </w:p>
        </w:tc>
        <w:tc>
          <w:tcPr>
            <w:tcW w:type="dxa" w:w="5220"/>
          </w:tcPr>
          <w:p>
            <w:r/>
            <w:r>
              <w:rPr>
                <w:rFonts w:ascii="Times New Roman" w:hAnsi="Times New Roman"/>
                <w:sz w:val="18"/>
              </w:rPr>
              <w:t>Claims 1, 6, 7 (system / method / CRM)</w:t>
            </w:r>
          </w:p>
        </w:tc>
      </w:tr>
    </w:tbl>
    <w:p>
      <w:pPr>
        <w:spacing w:before="160" w:after="80"/>
        <w:jc w:val="center"/>
      </w:pPr>
      <w:r>
        <w:rPr>
          <w:rFonts w:ascii="Times New Roman" w:hAnsi="Times New Roman"/>
          <w:b/>
          <w:sz w:val="20"/>
        </w:rPr>
        <w:t>III. 2. RELATED WORK</w:t>
      </w:r>
    </w:p>
    <w:p>
      <w:pPr>
        <w:pStyle w:val="ListBullet"/>
      </w:pPr>
      <w:r>
        <w:rPr>
          <w:rFonts w:ascii="Times New Roman" w:hAnsi="Times New Roman"/>
          <w:b w:val="0"/>
          <w:i w:val="0"/>
          <w:sz w:val="20"/>
        </w:rPr>
        <w:t>Predictive attrition. IBM Kenexa Predictive Attrition (2018), Workday</w:t>
      </w:r>
    </w:p>
    <w:p>
      <w:pPr>
        <w:spacing w:after="40"/>
        <w:ind w:firstLine="288"/>
        <w:jc w:val="both"/>
      </w:pPr>
      <w:r>
        <w:rPr>
          <w:rFonts w:ascii="Times New Roman" w:hAnsi="Times New Roman"/>
          <w:b w:val="0"/>
          <w:i w:val="0"/>
          <w:sz w:val="20"/>
        </w:rPr>
        <w:t>Retention Risk (2022), Microsoft Viva Insights (2023), Visier (2024), Crunchr (2024). All emit per-employee risk; none combine gating + causal</w:t>
      </w:r>
    </w:p>
    <w:p>
      <w:pPr>
        <w:pStyle w:val="ListBullet"/>
      </w:pPr>
      <w:r>
        <w:rPr>
          <w:rFonts w:ascii="Times New Roman" w:hAnsi="Times New Roman"/>
          <w:b w:val="0"/>
          <w:i w:val="0"/>
          <w:sz w:val="20"/>
        </w:rPr>
        <w:t>pseudonymisation.</w:t>
      </w:r>
    </w:p>
    <w:p>
      <w:pPr>
        <w:pStyle w:val="ListBullet"/>
      </w:pPr>
      <w:r>
        <w:rPr>
          <w:rFonts w:ascii="Times New Roman" w:hAnsi="Times New Roman"/>
          <w:b w:val="0"/>
          <w:i w:val="0"/>
          <w:sz w:val="20"/>
        </w:rPr>
        <w:t>Algorithmic fairness. Fairlearn (Microsoft Research, 2018) and</w:t>
      </w:r>
    </w:p>
    <w:p>
      <w:pPr>
        <w:spacing w:after="40"/>
        <w:ind w:firstLine="288"/>
        <w:jc w:val="both"/>
      </w:pPr>
      <w:r>
        <w:rPr>
          <w:rFonts w:ascii="Times New Roman" w:hAnsi="Times New Roman"/>
          <w:b w:val="0"/>
          <w:i w:val="0"/>
          <w:sz w:val="20"/>
        </w:rPr>
        <w:t>AIF360 (IBM, 2019) provide DI metrics as audit notebooks. Four-fifths rule originates in EEOC Uniform Guidelines (1978). To our knowledge, AttriSense is the first published system using four-fifths as a blocking condition embedded inside the recommendation surface.</w:t>
      </w:r>
    </w:p>
    <w:p>
      <w:pPr>
        <w:pStyle w:val="ListBullet"/>
      </w:pPr>
      <w:r>
        <w:rPr>
          <w:rFonts w:ascii="Times New Roman" w:hAnsi="Times New Roman"/>
          <w:b w:val="0"/>
          <w:i w:val="0"/>
          <w:sz w:val="20"/>
        </w:rPr>
        <w:t>Causal CATE. Athey &amp; Imbens (2019) survey T/X/DR-learners; EconML</w:t>
      </w:r>
    </w:p>
    <w:p>
      <w:pPr>
        <w:spacing w:after="40"/>
        <w:ind w:firstLine="288"/>
        <w:jc w:val="both"/>
      </w:pPr>
      <w:r>
        <w:rPr>
          <w:rFonts w:ascii="Times New Roman" w:hAnsi="Times New Roman"/>
          <w:b w:val="0"/>
          <w:i w:val="0"/>
          <w:sz w:val="20"/>
        </w:rPr>
        <w:t>(Microsoft Research, 2019) provides reference implementations. AttriSense adopts the T-learner for per-arm interpretability that supports per-arm fairness audit.</w:t>
      </w:r>
    </w:p>
    <w:p>
      <w:pPr>
        <w:pStyle w:val="ListBullet"/>
      </w:pPr>
      <w:r>
        <w:rPr>
          <w:rFonts w:ascii="Times New Roman" w:hAnsi="Times New Roman"/>
          <w:b w:val="0"/>
          <w:i w:val="0"/>
          <w:sz w:val="20"/>
        </w:rPr>
        <w:t>Privacy-preserving HR. Differential-privacy work (Dwork &amp; Roth, 2014)</w:t>
      </w:r>
    </w:p>
    <w:p>
      <w:pPr>
        <w:spacing w:after="40"/>
        <w:ind w:firstLine="288"/>
        <w:jc w:val="both"/>
      </w:pPr>
      <w:r>
        <w:rPr>
          <w:rFonts w:ascii="Times New Roman" w:hAnsi="Times New Roman"/>
          <w:b w:val="0"/>
          <w:i w:val="0"/>
          <w:sz w:val="20"/>
        </w:rPr>
        <w:t>focuses on training-time noise; AttriSense focuses on presentation-time pseudonymisation, more practical at the dashboard render path and composable with DP training.</w:t>
      </w:r>
    </w:p>
    <w:p>
      <w:pPr>
        <w:pStyle w:val="ListBullet"/>
      </w:pPr>
      <w:r>
        <w:rPr>
          <w:rFonts w:ascii="Times New Roman" w:hAnsi="Times New Roman"/>
          <w:b w:val="0"/>
          <w:i w:val="0"/>
          <w:sz w:val="20"/>
        </w:rPr>
        <w:t>RAG. Lewis et al. (2020) introduced RAG with dense embeddings;</w:t>
      </w:r>
    </w:p>
    <w:p>
      <w:pPr>
        <w:spacing w:after="40"/>
        <w:ind w:firstLine="288"/>
        <w:jc w:val="both"/>
      </w:pPr>
      <w:r>
        <w:rPr>
          <w:rFonts w:ascii="Times New Roman" w:hAnsi="Times New Roman"/>
          <w:b w:val="0"/>
          <w:i w:val="0"/>
          <w:sz w:val="20"/>
        </w:rPr>
        <w:t>AttriSense extends with deterministic local hashing-vector fallback.</w:t>
      </w:r>
    </w:p>
    <w:p>
      <w:pPr>
        <w:spacing w:before="160" w:after="80"/>
        <w:jc w:val="center"/>
      </w:pPr>
      <w:r>
        <w:rPr>
          <w:rFonts w:ascii="Times New Roman" w:hAnsi="Times New Roman"/>
          <w:b/>
          <w:sz w:val="20"/>
        </w:rPr>
        <w:t>IV. 3. SYSTEM ARCHITECTURE</w:t>
      </w:r>
    </w:p>
    <w:p>
      <w:pPr>
        <w:spacing w:after="40"/>
        <w:ind w:firstLine="288"/>
        <w:jc w:val="both"/>
      </w:pPr>
      <w:r>
        <w:rPr>
          <w:rFonts w:ascii="Times New Roman" w:hAnsi="Times New Roman"/>
          <w:b w:val="0"/>
          <w:i w:val="0"/>
          <w:sz w:val="20"/>
        </w:rPr>
        <w:t>AttriSense is structured as six communicating modules (Fig. 1):</w:t>
      </w:r>
    </w:p>
    <w:p>
      <w:pPr>
        <w:pStyle w:val="ListNumber"/>
      </w:pPr>
      <w:r>
        <w:rPr>
          <w:rFonts w:ascii="Times New Roman" w:hAnsi="Times New Roman"/>
          <w:b w:val="0"/>
          <w:i w:val="0"/>
          <w:sz w:val="20"/>
        </w:rPr>
        <w:t>Feature engineering — derives 27 features per employee.</w:t>
      </w:r>
    </w:p>
    <w:p>
      <w:pPr>
        <w:pStyle w:val="ListNumber"/>
      </w:pPr>
      <w:r>
        <w:rPr>
          <w:rFonts w:ascii="Times New Roman" w:hAnsi="Times New Roman"/>
          <w:b w:val="0"/>
          <w:i w:val="0"/>
          <w:sz w:val="20"/>
        </w:rPr>
        <w:t>Calibrated classifier — XGBoost (n=400, depth=6) wrapped in isotonic</w:t>
      </w:r>
    </w:p>
    <w:p>
      <w:pPr>
        <w:spacing w:after="40"/>
        <w:ind w:firstLine="288"/>
        <w:jc w:val="both"/>
      </w:pPr>
      <w:r>
        <w:rPr>
          <w:rFonts w:ascii="Times New Roman" w:hAnsi="Times New Roman"/>
          <w:b w:val="0"/>
          <w:i w:val="0"/>
          <w:sz w:val="20"/>
        </w:rPr>
        <w:t>calibration.</w:t>
      </w:r>
    </w:p>
    <w:p>
      <w:pPr>
        <w:pStyle w:val="ListNumber"/>
      </w:pPr>
      <w:r>
        <w:rPr>
          <w:rFonts w:ascii="Times New Roman" w:hAnsi="Times New Roman"/>
          <w:b w:val="0"/>
          <w:i w:val="0"/>
          <w:sz w:val="20"/>
        </w:rPr>
        <w:t>Fairness gate — four-fifths DI suppression (§4).</w:t>
      </w:r>
    </w:p>
    <w:p>
      <w:pPr>
        <w:pStyle w:val="ListNumber"/>
      </w:pPr>
      <w:r>
        <w:rPr>
          <w:rFonts w:ascii="Times New Roman" w:hAnsi="Times New Roman"/>
          <w:b w:val="0"/>
          <w:i w:val="0"/>
          <w:sz w:val="20"/>
        </w:rPr>
        <w:t>Causal uplift estimator — T-learner over three arms (§5).</w:t>
      </w:r>
    </w:p>
    <w:p>
      <w:pPr>
        <w:pStyle w:val="ListNumber"/>
      </w:pPr>
      <w:r>
        <w:rPr>
          <w:rFonts w:ascii="Times New Roman" w:hAnsi="Times New Roman"/>
          <w:b w:val="0"/>
          <w:i w:val="0"/>
          <w:sz w:val="20"/>
        </w:rPr>
        <w:t>Salted SHAP explainer — TreeExplainer attributions exposed under</w:t>
      </w:r>
    </w:p>
    <w:p>
      <w:pPr>
        <w:spacing w:after="40"/>
        <w:ind w:firstLine="288"/>
        <w:jc w:val="both"/>
      </w:pPr>
      <w:r>
        <w:rPr>
          <w:rFonts w:ascii="Times New Roman" w:hAnsi="Times New Roman"/>
          <w:b w:val="0"/>
          <w:i w:val="0"/>
          <w:sz w:val="20"/>
        </w:rPr>
        <w:t>HMAC-derived Review_ID (§6).</w:t>
      </w:r>
    </w:p>
    <w:p>
      <w:pPr>
        <w:pStyle w:val="ListNumber"/>
      </w:pPr>
      <w:r>
        <w:rPr>
          <w:rFonts w:ascii="Times New Roman" w:hAnsi="Times New Roman"/>
          <w:b w:val="0"/>
          <w:i w:val="0"/>
          <w:sz w:val="20"/>
        </w:rPr>
        <w:t>Provider-fallback presentation — NL→SQL + RAG hardened against LLM</w:t>
      </w:r>
    </w:p>
    <w:p>
      <w:pPr>
        <w:spacing w:after="40"/>
        <w:ind w:firstLine="288"/>
        <w:jc w:val="both"/>
      </w:pPr>
      <w:r>
        <w:rPr>
          <w:rFonts w:ascii="Times New Roman" w:hAnsi="Times New Roman"/>
          <w:b w:val="0"/>
          <w:i w:val="0"/>
          <w:sz w:val="20"/>
        </w:rPr>
        <w:t>outage (§7).</w:t>
      </w:r>
    </w:p>
    <w:p>
      <w:pPr>
        <w:spacing w:after="40"/>
        <w:ind w:firstLine="288"/>
        <w:jc w:val="both"/>
      </w:pPr>
      <w:r>
        <w:rPr>
          <w:rFonts w:ascii="Times New Roman" w:hAnsi="Times New Roman"/>
          <w:b w:val="0"/>
          <w:i w:val="0"/>
          <w:sz w:val="20"/>
        </w:rPr>
        <w:t>&gt; Figure 1 — system architecture. See docs/images/diagrams/architecture.png.</w:t>
      </w:r>
    </w:p>
    <w:p>
      <w:pPr>
        <w:spacing w:before="160" w:after="80"/>
        <w:jc w:val="center"/>
      </w:pPr>
      <w:r>
        <w:rPr>
          <w:rFonts w:ascii="Times New Roman" w:hAnsi="Times New Roman"/>
          <w:b/>
          <w:sz w:val="20"/>
        </w:rPr>
        <w:t>V. 4. FAIRNESS AS A BLOCKING GATE</w:t>
      </w:r>
    </w:p>
    <w:p>
      <w:pPr>
        <w:spacing w:after="40"/>
        <w:ind w:firstLine="288"/>
        <w:jc w:val="both"/>
      </w:pPr>
      <w:r>
        <w:rPr>
          <w:rFonts w:ascii="Times New Roman" w:hAnsi="Times New Roman"/>
          <w:b w:val="0"/>
          <w:i w:val="0"/>
          <w:sz w:val="20"/>
        </w:rPr>
        <w:t>For each protected-group cohort $g \in G$, define the disparate-impact ratio $$ DI(g) = \frac{P(\hat y = 1 \mid \mathrm{group}=g)}{\max_{g'\in G} P(\hat y = 1 \mid \mathrm{group}=g')}. $$ Given threshold $\tau=0.80$ (EEOC four-fifths), the gate is $$ \mathrm{gate}(g) = \mathbb{1}\!\left[ DI(g) \geq \tau \right]. $$ For any cohort with $\mathrm{gate}(g)=0$, the recommendation surface suppresses rather than flags the recommendation. The reviewer sees a "fairness review pending" badge; the cohort is escalated via the audit log.</w:t>
      </w:r>
    </w:p>
    <w:p>
      <w:pPr>
        <w:spacing w:after="40"/>
        <w:ind w:firstLine="288"/>
        <w:jc w:val="both"/>
      </w:pPr>
      <w:r>
        <w:rPr>
          <w:rFonts w:ascii="Times New Roman" w:hAnsi="Times New Roman"/>
          <w:b w:val="0"/>
          <w:i w:val="0"/>
          <w:sz w:val="20"/>
        </w:rPr>
        <w:t>Why suppression, not flagging. Flagging leaves the recommendation in the reviewer's eye and so leaves the bias in the decision path. Suppression is the only intervention that removes the bias signal entirely.</w:t>
      </w:r>
    </w:p>
    <w:p>
      <w:pPr>
        <w:spacing w:before="160" w:after="80"/>
        <w:jc w:val="center"/>
      </w:pPr>
      <w:r>
        <w:rPr>
          <w:rFonts w:ascii="Times New Roman" w:hAnsi="Times New Roman"/>
          <w:b/>
          <w:sz w:val="20"/>
        </w:rPr>
        <w:t>VI. 5. CAUSAL UPLIFT VIA T-LEARNER</w:t>
      </w:r>
    </w:p>
    <w:p>
      <w:pPr>
        <w:spacing w:after="40"/>
        <w:ind w:firstLine="288"/>
        <w:jc w:val="both"/>
      </w:pPr>
      <w:r>
        <w:rPr>
          <w:rFonts w:ascii="Times New Roman" w:hAnsi="Times New Roman"/>
          <w:b w:val="0"/>
          <w:i w:val="0"/>
          <w:sz w:val="20"/>
        </w:rPr>
        <w:t>For each intervention arm $a \in A = \{\text{compensation}, \text{manager rotation}, \text{learning budget}\}$, train an outcome model $\mu_a(x) = E[Y(a) \mid X=x]$ on the historical intervention log, plus a control model $\mu_0$. At inference, for each $x_i$ that has cleared the fairness gate, $$ \widehat{CATE}_i(a) = \mu_a(x_i) - \mu_0(x_i). $$ The recommended arm is $a^_i = \arg\max_a \widehat{CATE}_i(a)$, surfaced only when $\widehat{CATE}_i(a^_i) &gt; \delta$ (default $\delta=0.05$).</w:t>
      </w:r>
    </w:p>
    <w:p>
      <w:pPr>
        <w:spacing w:before="160" w:after="80"/>
        <w:jc w:val="center"/>
      </w:pPr>
      <w:r>
        <w:rPr>
          <w:rFonts w:ascii="Times New Roman" w:hAnsi="Times New Roman"/>
          <w:b/>
          <w:sz w:val="20"/>
        </w:rPr>
        <w:t>VII. 6. PRIVACY: SALTED PSEUDONYMOUS IDENTIFIERS</w:t>
      </w:r>
    </w:p>
    <w:p>
      <w:pPr>
        <w:spacing w:after="40"/>
        <w:ind w:firstLine="288"/>
        <w:jc w:val="both"/>
      </w:pPr>
      <w:r>
        <w:rPr>
          <w:rFonts w:ascii="Times New Roman" w:hAnsi="Times New Roman"/>
          <w:b w:val="0"/>
          <w:i w:val="0"/>
          <w:sz w:val="20"/>
        </w:rPr>
        <w:t>Each employee_id is replaced at presentation time by $$ \mathrm{Review_ID} = \text{</w:t>
      </w:r>
      <w:r>
        <w:rPr>
          <w:rFonts w:ascii="Consolas" w:hAnsi="Consolas"/>
          <w:sz w:val="20"/>
        </w:rPr>
        <w:t>RV-''} \,\|\, \mathrm{HMAC\text{-}SHA256}(\mathrm{salt}, \mathrm{employee_id})[0:6]. $$ The salt is rotated monthly. The mapping table lives in an audit-only datastore inaccessible to dashboard reviewers. SHAP attributions, recommendations, and exported audit logs reference only the Review_ID</w:t>
      </w:r>
      <w:r>
        <w:rPr>
          <w:rFonts w:ascii="Times New Roman" w:hAnsi="Times New Roman"/>
          <w:b w:val="0"/>
          <w:i w:val="0"/>
          <w:sz w:val="20"/>
        </w:rPr>
        <w:t>, preventing reviewer-side re-identification under typical RBAC.</w:t>
      </w:r>
    </w:p>
    <w:p>
      <w:pPr>
        <w:spacing w:before="160" w:after="80"/>
        <w:jc w:val="center"/>
      </w:pPr>
      <w:r>
        <w:rPr>
          <w:rFonts w:ascii="Times New Roman" w:hAnsi="Times New Roman"/>
          <w:b/>
          <w:sz w:val="20"/>
        </w:rPr>
        <w:t>VIII. 7. PROVIDER-FALLBACK ROUTER</w:t>
      </w:r>
    </w:p>
    <w:p>
      <w:pPr>
        <w:spacing w:after="40"/>
        <w:ind w:firstLine="288"/>
        <w:jc w:val="both"/>
      </w:pPr>
      <w:r>
        <w:rPr>
          <w:rFonts w:ascii="Times New Roman" w:hAnsi="Times New Roman"/>
          <w:b w:val="0"/>
          <w:i w:val="0"/>
          <w:sz w:val="20"/>
        </w:rPr>
        <w:t>The dashboard issues a 250 ms HTTPS reachability probe per query. If the probe fails:</w:t>
      </w:r>
    </w:p>
    <w:p>
      <w:pPr>
        <w:pStyle w:val="ListBullet"/>
      </w:pPr>
      <w:r>
        <w:rPr>
          <w:rFonts w:ascii="Times New Roman" w:hAnsi="Times New Roman"/>
          <w:b w:val="0"/>
          <w:i w:val="0"/>
          <w:sz w:val="20"/>
        </w:rPr>
        <w:t>NL→SQL routes to a TF-IDF similarity match against a curated corpus of</w:t>
      </w:r>
    </w:p>
    <w:p>
      <w:pPr>
        <w:spacing w:after="40"/>
        <w:ind w:firstLine="288"/>
        <w:jc w:val="both"/>
      </w:pPr>
      <w:r>
        <w:rPr>
          <w:rFonts w:ascii="Times New Roman" w:hAnsi="Times New Roman"/>
          <w:b w:val="0"/>
          <w:i w:val="0"/>
          <w:sz w:val="20"/>
        </w:rPr>
        <w:t>50 vetted natural-language → SQL pairs (the gold-question safety net).</w:t>
      </w:r>
    </w:p>
    <w:p>
      <w:pPr>
        <w:pStyle w:val="ListBullet"/>
      </w:pPr>
      <w:r>
        <w:rPr>
          <w:rFonts w:ascii="Times New Roman" w:hAnsi="Times New Roman"/>
          <w:b w:val="0"/>
          <w:i w:val="0"/>
          <w:sz w:val="20"/>
        </w:rPr>
        <w:t>Multilingual RAG routes embeddings to a deterministic 256-dimension</w:t>
      </w:r>
    </w:p>
    <w:p>
      <w:pPr>
        <w:spacing w:after="40"/>
        <w:ind w:firstLine="288"/>
        <w:jc w:val="both"/>
      </w:pPr>
      <w:r>
        <w:rPr>
          <w:rFonts w:ascii="Times New Roman" w:hAnsi="Times New Roman"/>
          <w:b w:val="0"/>
          <w:i w:val="0"/>
          <w:sz w:val="20"/>
        </w:rPr>
        <w:t>hashing vectoriser.</w:t>
      </w:r>
    </w:p>
    <w:p>
      <w:pPr>
        <w:spacing w:after="40"/>
        <w:ind w:firstLine="288"/>
        <w:jc w:val="both"/>
      </w:pPr>
      <w:r>
        <w:rPr>
          <w:rFonts w:ascii="Times New Roman" w:hAnsi="Times New Roman"/>
          <w:b w:val="0"/>
          <w:i w:val="0"/>
          <w:sz w:val="20"/>
        </w:rPr>
        <w:t>The routing decision is logged immutably; a user-visible banner indicates the fallback is in use; render-path latency is unaffected.</w:t>
      </w:r>
    </w:p>
    <w:p>
      <w:pPr>
        <w:spacing w:before="160" w:after="80"/>
        <w:jc w:val="center"/>
      </w:pPr>
      <w:r>
        <w:rPr>
          <w:rFonts w:ascii="Times New Roman" w:hAnsi="Times New Roman"/>
          <w:b/>
          <w:sz w:val="20"/>
        </w:rPr>
        <w:t>IX. 8. EVALUATION</w:t>
      </w:r>
    </w:p>
    <w:p>
      <w:pPr>
        <w:spacing w:before="80" w:after="40"/>
        <w:jc w:val="left"/>
      </w:pPr>
      <w:r>
        <w:rPr>
          <w:rFonts w:ascii="Times New Roman" w:hAnsi="Times New Roman"/>
          <w:b/>
          <w:i/>
          <w:sz w:val="20"/>
        </w:rPr>
        <w:t>Dataset</w:t>
      </w:r>
    </w:p>
    <w:p>
      <w:pPr>
        <w:spacing w:after="40"/>
        <w:ind w:firstLine="288"/>
        <w:jc w:val="both"/>
      </w:pPr>
      <w:r>
        <w:rPr>
          <w:rFonts w:ascii="Times New Roman" w:hAnsi="Times New Roman"/>
          <w:b w:val="0"/>
          <w:i w:val="0"/>
          <w:sz w:val="20"/>
        </w:rPr>
        <w:t>5,000-employee synthetic HR corpus, 27 features, 11 protected cohorts, an intervention log of 9,412 events. Generator script: generate_demo_workforce_data.py.</w:t>
      </w:r>
    </w:p>
    <w:p>
      <w:pPr>
        <w:spacing w:before="80" w:after="40"/>
        <w:jc w:val="left"/>
      </w:pPr>
      <w:r>
        <w:rPr>
          <w:rFonts w:ascii="Times New Roman" w:hAnsi="Times New Roman"/>
          <w:b/>
          <w:i/>
          <w:sz w:val="20"/>
        </w:rPr>
        <w:t>Calibration &amp; discrimination (Table 1)</w:t>
      </w:r>
    </w:p>
    <w:tbl>
      <w:tblPr>
        <w:tblStyle w:val="LightGrid-Accent1"/>
        <w:tblW w:type="auto" w:w="0"/>
        <w:tblLook w:firstColumn="1" w:firstRow="1" w:lastColumn="0" w:lastRow="0" w:noHBand="0" w:noVBand="1" w:val="04A0"/>
      </w:tblPr>
      <w:tblGrid>
        <w:gridCol w:w="2088"/>
        <w:gridCol w:w="2088"/>
        <w:gridCol w:w="2088"/>
        <w:gridCol w:w="2088"/>
        <w:gridCol w:w="2088"/>
      </w:tblGrid>
      <w:tr>
        <w:tc>
          <w:tcPr>
            <w:tcW w:type="dxa" w:w="2088"/>
          </w:tcPr>
          <w:p>
            <w:r/>
            <w:r>
              <w:rPr>
                <w:rFonts w:ascii="Times New Roman" w:hAnsi="Times New Roman"/>
                <w:b/>
                <w:sz w:val="18"/>
              </w:rPr>
              <w:t>Model</w:t>
            </w:r>
          </w:p>
        </w:tc>
        <w:tc>
          <w:tcPr>
            <w:tcW w:type="dxa" w:w="2088"/>
          </w:tcPr>
          <w:p>
            <w:r/>
            <w:r>
              <w:rPr>
                <w:rFonts w:ascii="Times New Roman" w:hAnsi="Times New Roman"/>
                <w:b/>
                <w:sz w:val="18"/>
              </w:rPr>
              <w:t>ECE ↓</w:t>
            </w:r>
          </w:p>
        </w:tc>
        <w:tc>
          <w:tcPr>
            <w:tcW w:type="dxa" w:w="2088"/>
          </w:tcPr>
          <w:p>
            <w:r/>
            <w:r>
              <w:rPr>
                <w:rFonts w:ascii="Times New Roman" w:hAnsi="Times New Roman"/>
                <w:b/>
                <w:sz w:val="18"/>
              </w:rPr>
              <w:t>Brier ↓</w:t>
            </w:r>
          </w:p>
        </w:tc>
        <w:tc>
          <w:tcPr>
            <w:tcW w:type="dxa" w:w="2088"/>
          </w:tcPr>
          <w:p>
            <w:r/>
            <w:r>
              <w:rPr>
                <w:rFonts w:ascii="Times New Roman" w:hAnsi="Times New Roman"/>
                <w:b/>
                <w:sz w:val="18"/>
              </w:rPr>
              <w:t>AUC ↑</w:t>
            </w:r>
          </w:p>
        </w:tc>
        <w:tc>
          <w:tcPr>
            <w:tcW w:type="dxa" w:w="2088"/>
          </w:tcPr>
          <w:p>
            <w:r/>
            <w:r>
              <w:rPr>
                <w:rFonts w:ascii="Times New Roman" w:hAnsi="Times New Roman"/>
                <w:b/>
                <w:sz w:val="18"/>
              </w:rPr>
              <w:t>AP ↑</w:t>
            </w:r>
          </w:p>
        </w:tc>
      </w:tr>
      <w:tr>
        <w:tc>
          <w:tcPr>
            <w:tcW w:type="dxa" w:w="2088"/>
          </w:tcPr>
          <w:p>
            <w:r/>
            <w:r>
              <w:rPr>
                <w:rFonts w:ascii="Times New Roman" w:hAnsi="Times New Roman"/>
                <w:sz w:val="18"/>
              </w:rPr>
              <w:t>Logistic Regression</w:t>
            </w:r>
          </w:p>
        </w:tc>
        <w:tc>
          <w:tcPr>
            <w:tcW w:type="dxa" w:w="2088"/>
          </w:tcPr>
          <w:p>
            <w:r/>
            <w:r>
              <w:rPr>
                <w:rFonts w:ascii="Times New Roman" w:hAnsi="Times New Roman"/>
                <w:sz w:val="18"/>
              </w:rPr>
              <w:t>0.061</w:t>
            </w:r>
          </w:p>
        </w:tc>
        <w:tc>
          <w:tcPr>
            <w:tcW w:type="dxa" w:w="2088"/>
          </w:tcPr>
          <w:p>
            <w:r/>
            <w:r>
              <w:rPr>
                <w:rFonts w:ascii="Times New Roman" w:hAnsi="Times New Roman"/>
                <w:sz w:val="18"/>
              </w:rPr>
              <w:t>0.182</w:t>
            </w:r>
          </w:p>
        </w:tc>
        <w:tc>
          <w:tcPr>
            <w:tcW w:type="dxa" w:w="2088"/>
          </w:tcPr>
          <w:p>
            <w:r/>
            <w:r>
              <w:rPr>
                <w:rFonts w:ascii="Times New Roman" w:hAnsi="Times New Roman"/>
                <w:sz w:val="18"/>
              </w:rPr>
              <w:t>0.812</w:t>
            </w:r>
          </w:p>
        </w:tc>
        <w:tc>
          <w:tcPr>
            <w:tcW w:type="dxa" w:w="2088"/>
          </w:tcPr>
          <w:p>
            <w:r/>
            <w:r>
              <w:rPr>
                <w:rFonts w:ascii="Times New Roman" w:hAnsi="Times New Roman"/>
                <w:sz w:val="18"/>
              </w:rPr>
              <w:t>0.421</w:t>
            </w:r>
          </w:p>
        </w:tc>
      </w:tr>
      <w:tr>
        <w:tc>
          <w:tcPr>
            <w:tcW w:type="dxa" w:w="2088"/>
          </w:tcPr>
          <w:p>
            <w:r/>
            <w:r>
              <w:rPr>
                <w:rFonts w:ascii="Times New Roman" w:hAnsi="Times New Roman"/>
                <w:sz w:val="18"/>
              </w:rPr>
              <w:t>Random Forest</w:t>
            </w:r>
          </w:p>
        </w:tc>
        <w:tc>
          <w:tcPr>
            <w:tcW w:type="dxa" w:w="2088"/>
          </w:tcPr>
          <w:p>
            <w:r/>
            <w:r>
              <w:rPr>
                <w:rFonts w:ascii="Times New Roman" w:hAnsi="Times New Roman"/>
                <w:sz w:val="18"/>
              </w:rPr>
              <w:t>0.054</w:t>
            </w:r>
          </w:p>
        </w:tc>
        <w:tc>
          <w:tcPr>
            <w:tcW w:type="dxa" w:w="2088"/>
          </w:tcPr>
          <w:p>
            <w:r/>
            <w:r>
              <w:rPr>
                <w:rFonts w:ascii="Times New Roman" w:hAnsi="Times New Roman"/>
                <w:sz w:val="18"/>
              </w:rPr>
              <w:t>0.171</w:t>
            </w:r>
          </w:p>
        </w:tc>
        <w:tc>
          <w:tcPr>
            <w:tcW w:type="dxa" w:w="2088"/>
          </w:tcPr>
          <w:p>
            <w:r/>
            <w:r>
              <w:rPr>
                <w:rFonts w:ascii="Times New Roman" w:hAnsi="Times New Roman"/>
                <w:sz w:val="18"/>
              </w:rPr>
              <w:t>0.847</w:t>
            </w:r>
          </w:p>
        </w:tc>
        <w:tc>
          <w:tcPr>
            <w:tcW w:type="dxa" w:w="2088"/>
          </w:tcPr>
          <w:p>
            <w:r/>
            <w:r>
              <w:rPr>
                <w:rFonts w:ascii="Times New Roman" w:hAnsi="Times New Roman"/>
                <w:sz w:val="18"/>
              </w:rPr>
              <w:t>0.469</w:t>
            </w:r>
          </w:p>
        </w:tc>
      </w:tr>
      <w:tr>
        <w:tc>
          <w:tcPr>
            <w:tcW w:type="dxa" w:w="2088"/>
          </w:tcPr>
          <w:p>
            <w:r/>
            <w:r>
              <w:rPr>
                <w:rFonts w:ascii="Times New Roman" w:hAnsi="Times New Roman"/>
                <w:sz w:val="18"/>
              </w:rPr>
              <w:t>XGBoost + isotonic (ours)</w:t>
            </w:r>
          </w:p>
        </w:tc>
        <w:tc>
          <w:tcPr>
            <w:tcW w:type="dxa" w:w="2088"/>
          </w:tcPr>
          <w:p>
            <w:r/>
            <w:r>
              <w:rPr>
                <w:rFonts w:ascii="Times New Roman" w:hAnsi="Times New Roman"/>
                <w:sz w:val="18"/>
              </w:rPr>
              <w:t>0.038</w:t>
            </w:r>
          </w:p>
        </w:tc>
        <w:tc>
          <w:tcPr>
            <w:tcW w:type="dxa" w:w="2088"/>
          </w:tcPr>
          <w:p>
            <w:r/>
            <w:r>
              <w:rPr>
                <w:rFonts w:ascii="Times New Roman" w:hAnsi="Times New Roman"/>
                <w:sz w:val="18"/>
              </w:rPr>
              <w:t>0.158</w:t>
            </w:r>
          </w:p>
        </w:tc>
        <w:tc>
          <w:tcPr>
            <w:tcW w:type="dxa" w:w="2088"/>
          </w:tcPr>
          <w:p>
            <w:r/>
            <w:r>
              <w:rPr>
                <w:rFonts w:ascii="Times New Roman" w:hAnsi="Times New Roman"/>
                <w:sz w:val="18"/>
              </w:rPr>
              <w:t>0.872</w:t>
            </w:r>
          </w:p>
        </w:tc>
        <w:tc>
          <w:tcPr>
            <w:tcW w:type="dxa" w:w="2088"/>
          </w:tcPr>
          <w:p>
            <w:r/>
            <w:r>
              <w:rPr>
                <w:rFonts w:ascii="Times New Roman" w:hAnsi="Times New Roman"/>
                <w:sz w:val="18"/>
              </w:rPr>
              <w:t>0.503</w:t>
            </w:r>
          </w:p>
        </w:tc>
      </w:tr>
    </w:tbl>
    <w:p>
      <w:pPr>
        <w:spacing w:before="80" w:after="40"/>
        <w:jc w:val="left"/>
      </w:pPr>
      <w:r>
        <w:rPr>
          <w:rFonts w:ascii="Times New Roman" w:hAnsi="Times New Roman"/>
          <w:b/>
          <w:i/>
          <w:sz w:val="20"/>
        </w:rPr>
        <w:t>Causal uplift (Table 2)</w:t>
      </w:r>
    </w:p>
    <w:tbl>
      <w:tblPr>
        <w:tblStyle w:val="LightGrid-Accent1"/>
        <w:tblW w:type="auto" w:w="0"/>
        <w:tblLook w:firstColumn="1" w:firstRow="1" w:lastColumn="0" w:lastRow="0" w:noHBand="0" w:noVBand="1" w:val="04A0"/>
      </w:tblPr>
      <w:tblGrid>
        <w:gridCol w:w="3480"/>
        <w:gridCol w:w="3480"/>
        <w:gridCol w:w="3480"/>
      </w:tblGrid>
      <w:tr>
        <w:tc>
          <w:tcPr>
            <w:tcW w:type="dxa" w:w="3480"/>
          </w:tcPr>
          <w:p>
            <w:r/>
            <w:r>
              <w:rPr>
                <w:rFonts w:ascii="Times New Roman" w:hAnsi="Times New Roman"/>
                <w:b/>
                <w:sz w:val="18"/>
              </w:rPr>
              <w:t>Recommender</w:t>
            </w:r>
          </w:p>
        </w:tc>
        <w:tc>
          <w:tcPr>
            <w:tcW w:type="dxa" w:w="3480"/>
          </w:tcPr>
          <w:p>
            <w:r/>
            <w:r>
              <w:rPr>
                <w:rFonts w:ascii="Times New Roman" w:hAnsi="Times New Roman"/>
                <w:b/>
                <w:sz w:val="18"/>
              </w:rPr>
              <w:t>Qini ↑</w:t>
            </w:r>
          </w:p>
        </w:tc>
        <w:tc>
          <w:tcPr>
            <w:tcW w:type="dxa" w:w="3480"/>
          </w:tcPr>
          <w:p>
            <w:r/>
            <w:r>
              <w:rPr>
                <w:rFonts w:ascii="Times New Roman" w:hAnsi="Times New Roman"/>
                <w:b/>
                <w:sz w:val="18"/>
              </w:rPr>
              <w:t>AUUC ↑</w:t>
            </w:r>
          </w:p>
        </w:tc>
      </w:tr>
      <w:tr>
        <w:tc>
          <w:tcPr>
            <w:tcW w:type="dxa" w:w="3480"/>
          </w:tcPr>
          <w:p>
            <w:r/>
            <w:r>
              <w:rPr>
                <w:rFonts w:ascii="Times New Roman" w:hAnsi="Times New Roman"/>
                <w:sz w:val="18"/>
              </w:rPr>
              <w:t>Correlation baseline</w:t>
            </w:r>
          </w:p>
        </w:tc>
        <w:tc>
          <w:tcPr>
            <w:tcW w:type="dxa" w:w="3480"/>
          </w:tcPr>
          <w:p>
            <w:r/>
            <w:r>
              <w:rPr>
                <w:rFonts w:ascii="Times New Roman" w:hAnsi="Times New Roman"/>
                <w:sz w:val="18"/>
              </w:rPr>
              <w:t>0.041</w:t>
            </w:r>
          </w:p>
        </w:tc>
        <w:tc>
          <w:tcPr>
            <w:tcW w:type="dxa" w:w="3480"/>
          </w:tcPr>
          <w:p>
            <w:r/>
            <w:r>
              <w:rPr>
                <w:rFonts w:ascii="Times New Roman" w:hAnsi="Times New Roman"/>
                <w:sz w:val="18"/>
              </w:rPr>
              <w:t>0.108</w:t>
            </w:r>
          </w:p>
        </w:tc>
      </w:tr>
      <w:tr>
        <w:tc>
          <w:tcPr>
            <w:tcW w:type="dxa" w:w="3480"/>
          </w:tcPr>
          <w:p>
            <w:r/>
            <w:r>
              <w:rPr>
                <w:rFonts w:ascii="Times New Roman" w:hAnsi="Times New Roman"/>
                <w:sz w:val="18"/>
              </w:rPr>
              <w:t>T-learner (ours)</w:t>
            </w:r>
          </w:p>
        </w:tc>
        <w:tc>
          <w:tcPr>
            <w:tcW w:type="dxa" w:w="3480"/>
          </w:tcPr>
          <w:p>
            <w:r/>
            <w:r>
              <w:rPr>
                <w:rFonts w:ascii="Times New Roman" w:hAnsi="Times New Roman"/>
                <w:sz w:val="18"/>
              </w:rPr>
              <w:t>0.187</w:t>
            </w:r>
          </w:p>
        </w:tc>
        <w:tc>
          <w:tcPr>
            <w:tcW w:type="dxa" w:w="3480"/>
          </w:tcPr>
          <w:p>
            <w:r/>
            <w:r>
              <w:rPr>
                <w:rFonts w:ascii="Times New Roman" w:hAnsi="Times New Roman"/>
                <w:sz w:val="18"/>
              </w:rPr>
              <w:t>0.291</w:t>
            </w:r>
          </w:p>
        </w:tc>
      </w:tr>
    </w:tbl>
    <w:p>
      <w:pPr>
        <w:spacing w:before="80" w:after="40"/>
        <w:jc w:val="left"/>
      </w:pPr>
      <w:r>
        <w:rPr>
          <w:rFonts w:ascii="Times New Roman" w:hAnsi="Times New Roman"/>
          <w:b/>
          <w:i/>
          <w:sz w:val="20"/>
        </w:rPr>
        <w:t>Fairness audit (Table 3)</w:t>
      </w:r>
    </w:p>
    <w:tbl>
      <w:tblPr>
        <w:tblStyle w:val="LightGrid-Accent1"/>
        <w:tblW w:type="auto" w:w="0"/>
        <w:tblLook w:firstColumn="1" w:firstRow="1" w:lastColumn="0" w:lastRow="0" w:noHBand="0" w:noVBand="1" w:val="04A0"/>
      </w:tblPr>
      <w:tblGrid>
        <w:gridCol w:w="3480"/>
        <w:gridCol w:w="3480"/>
        <w:gridCol w:w="3480"/>
      </w:tblGrid>
      <w:tr>
        <w:tc>
          <w:tcPr>
            <w:tcW w:type="dxa" w:w="3480"/>
          </w:tcPr>
          <w:p>
            <w:r/>
            <w:r>
              <w:rPr>
                <w:rFonts w:ascii="Times New Roman" w:hAnsi="Times New Roman"/>
                <w:b/>
                <w:sz w:val="18"/>
              </w:rPr>
              <w:t>Cohort</w:t>
            </w:r>
          </w:p>
        </w:tc>
        <w:tc>
          <w:tcPr>
            <w:tcW w:type="dxa" w:w="3480"/>
          </w:tcPr>
          <w:p>
            <w:r/>
            <w:r>
              <w:rPr>
                <w:rFonts w:ascii="Times New Roman" w:hAnsi="Times New Roman"/>
                <w:b/>
                <w:sz w:val="18"/>
              </w:rPr>
              <w:t>DI</w:t>
            </w:r>
          </w:p>
        </w:tc>
        <w:tc>
          <w:tcPr>
            <w:tcW w:type="dxa" w:w="3480"/>
          </w:tcPr>
          <w:p>
            <w:r/>
            <w:r>
              <w:rPr>
                <w:rFonts w:ascii="Times New Roman" w:hAnsi="Times New Roman"/>
                <w:b/>
                <w:sz w:val="18"/>
              </w:rPr>
              <w:t>Gate</w:t>
            </w:r>
          </w:p>
        </w:tc>
      </w:tr>
      <w:tr>
        <w:tc>
          <w:tcPr>
            <w:tcW w:type="dxa" w:w="3480"/>
          </w:tcPr>
          <w:p>
            <w:r/>
            <w:r>
              <w:rPr>
                <w:rFonts w:ascii="Times New Roman" w:hAnsi="Times New Roman"/>
                <w:sz w:val="18"/>
              </w:rPr>
              <w:t>Engineering / M / 30–39</w:t>
            </w:r>
          </w:p>
        </w:tc>
        <w:tc>
          <w:tcPr>
            <w:tcW w:type="dxa" w:w="3480"/>
          </w:tcPr>
          <w:p>
            <w:r/>
            <w:r>
              <w:rPr>
                <w:rFonts w:ascii="Times New Roman" w:hAnsi="Times New Roman"/>
                <w:sz w:val="18"/>
              </w:rPr>
              <w:t>1.00</w:t>
            </w:r>
          </w:p>
        </w:tc>
        <w:tc>
          <w:tcPr>
            <w:tcW w:type="dxa" w:w="3480"/>
          </w:tcPr>
          <w:p>
            <w:r/>
            <w:r>
              <w:rPr>
                <w:rFonts w:ascii="Times New Roman" w:hAnsi="Times New Roman"/>
                <w:sz w:val="18"/>
              </w:rPr>
              <w:t>pass</w:t>
            </w:r>
          </w:p>
        </w:tc>
      </w:tr>
      <w:tr>
        <w:tc>
          <w:tcPr>
            <w:tcW w:type="dxa" w:w="3480"/>
          </w:tcPr>
          <w:p>
            <w:r/>
            <w:r>
              <w:rPr>
                <w:rFonts w:ascii="Times New Roman" w:hAnsi="Times New Roman"/>
                <w:sz w:val="18"/>
              </w:rPr>
              <w:t>Engineering / F / 30–39</w:t>
            </w:r>
          </w:p>
        </w:tc>
        <w:tc>
          <w:tcPr>
            <w:tcW w:type="dxa" w:w="3480"/>
          </w:tcPr>
          <w:p>
            <w:r/>
            <w:r>
              <w:rPr>
                <w:rFonts w:ascii="Times New Roman" w:hAnsi="Times New Roman"/>
                <w:sz w:val="18"/>
              </w:rPr>
              <w:t>0.91</w:t>
            </w:r>
          </w:p>
        </w:tc>
        <w:tc>
          <w:tcPr>
            <w:tcW w:type="dxa" w:w="3480"/>
          </w:tcPr>
          <w:p>
            <w:r/>
            <w:r>
              <w:rPr>
                <w:rFonts w:ascii="Times New Roman" w:hAnsi="Times New Roman"/>
                <w:sz w:val="18"/>
              </w:rPr>
              <w:t>pass</w:t>
            </w:r>
          </w:p>
        </w:tc>
      </w:tr>
      <w:tr>
        <w:tc>
          <w:tcPr>
            <w:tcW w:type="dxa" w:w="3480"/>
          </w:tcPr>
          <w:p>
            <w:r/>
            <w:r>
              <w:rPr>
                <w:rFonts w:ascii="Times New Roman" w:hAnsi="Times New Roman"/>
                <w:sz w:val="18"/>
              </w:rPr>
              <w:t>Engineering / M / 50+</w:t>
            </w:r>
          </w:p>
        </w:tc>
        <w:tc>
          <w:tcPr>
            <w:tcW w:type="dxa" w:w="3480"/>
          </w:tcPr>
          <w:p>
            <w:r/>
            <w:r>
              <w:rPr>
                <w:rFonts w:ascii="Times New Roman" w:hAnsi="Times New Roman"/>
                <w:sz w:val="18"/>
              </w:rPr>
              <w:t>0.84</w:t>
            </w:r>
          </w:p>
        </w:tc>
        <w:tc>
          <w:tcPr>
            <w:tcW w:type="dxa" w:w="3480"/>
          </w:tcPr>
          <w:p>
            <w:r/>
            <w:r>
              <w:rPr>
                <w:rFonts w:ascii="Times New Roman" w:hAnsi="Times New Roman"/>
                <w:sz w:val="18"/>
              </w:rPr>
              <w:t>pass</w:t>
            </w:r>
          </w:p>
        </w:tc>
      </w:tr>
      <w:tr>
        <w:tc>
          <w:tcPr>
            <w:tcW w:type="dxa" w:w="3480"/>
          </w:tcPr>
          <w:p>
            <w:r/>
            <w:r>
              <w:rPr>
                <w:rFonts w:ascii="Times New Roman" w:hAnsi="Times New Roman"/>
                <w:sz w:val="18"/>
              </w:rPr>
              <w:t>Engineering / F / 50+</w:t>
            </w:r>
          </w:p>
        </w:tc>
        <w:tc>
          <w:tcPr>
            <w:tcW w:type="dxa" w:w="3480"/>
          </w:tcPr>
          <w:p>
            <w:r/>
            <w:r>
              <w:rPr>
                <w:rFonts w:ascii="Times New Roman" w:hAnsi="Times New Roman"/>
                <w:sz w:val="18"/>
              </w:rPr>
              <w:t>0.71</w:t>
            </w:r>
          </w:p>
        </w:tc>
        <w:tc>
          <w:tcPr>
            <w:tcW w:type="dxa" w:w="3480"/>
          </w:tcPr>
          <w:p>
            <w:r/>
            <w:r>
              <w:rPr>
                <w:rFonts w:ascii="Times New Roman" w:hAnsi="Times New Roman"/>
                <w:sz w:val="18"/>
              </w:rPr>
              <w:t>suppress</w:t>
            </w:r>
          </w:p>
        </w:tc>
      </w:tr>
      <w:tr>
        <w:tc>
          <w:tcPr>
            <w:tcW w:type="dxa" w:w="3480"/>
          </w:tcPr>
          <w:p>
            <w:r/>
            <w:r>
              <w:rPr>
                <w:rFonts w:ascii="Times New Roman" w:hAnsi="Times New Roman"/>
                <w:sz w:val="18"/>
              </w:rPr>
              <w:t>Sales / M / 20–29</w:t>
            </w:r>
          </w:p>
        </w:tc>
        <w:tc>
          <w:tcPr>
            <w:tcW w:type="dxa" w:w="3480"/>
          </w:tcPr>
          <w:p>
            <w:r/>
            <w:r>
              <w:rPr>
                <w:rFonts w:ascii="Times New Roman" w:hAnsi="Times New Roman"/>
                <w:sz w:val="18"/>
              </w:rPr>
              <w:t>0.96</w:t>
            </w:r>
          </w:p>
        </w:tc>
        <w:tc>
          <w:tcPr>
            <w:tcW w:type="dxa" w:w="3480"/>
          </w:tcPr>
          <w:p>
            <w:r/>
            <w:r>
              <w:rPr>
                <w:rFonts w:ascii="Times New Roman" w:hAnsi="Times New Roman"/>
                <w:sz w:val="18"/>
              </w:rPr>
              <w:t>pass</w:t>
            </w:r>
          </w:p>
        </w:tc>
      </w:tr>
      <w:tr>
        <w:tc>
          <w:tcPr>
            <w:tcW w:type="dxa" w:w="3480"/>
          </w:tcPr>
          <w:p>
            <w:r/>
            <w:r>
              <w:rPr>
                <w:rFonts w:ascii="Times New Roman" w:hAnsi="Times New Roman"/>
                <w:sz w:val="18"/>
              </w:rPr>
              <w:t>Sales / F / 20–29</w:t>
            </w:r>
          </w:p>
        </w:tc>
        <w:tc>
          <w:tcPr>
            <w:tcW w:type="dxa" w:w="3480"/>
          </w:tcPr>
          <w:p>
            <w:r/>
            <w:r>
              <w:rPr>
                <w:rFonts w:ascii="Times New Roman" w:hAnsi="Times New Roman"/>
                <w:sz w:val="18"/>
              </w:rPr>
              <w:t>0.88</w:t>
            </w:r>
          </w:p>
        </w:tc>
        <w:tc>
          <w:tcPr>
            <w:tcW w:type="dxa" w:w="3480"/>
          </w:tcPr>
          <w:p>
            <w:r/>
            <w:r>
              <w:rPr>
                <w:rFonts w:ascii="Times New Roman" w:hAnsi="Times New Roman"/>
                <w:sz w:val="18"/>
              </w:rPr>
              <w:t>pass</w:t>
            </w:r>
          </w:p>
        </w:tc>
      </w:tr>
      <w:tr>
        <w:tc>
          <w:tcPr>
            <w:tcW w:type="dxa" w:w="3480"/>
          </w:tcPr>
          <w:p>
            <w:r/>
            <w:r>
              <w:rPr>
                <w:rFonts w:ascii="Times New Roman" w:hAnsi="Times New Roman"/>
                <w:sz w:val="18"/>
              </w:rPr>
              <w:t>Marketing / M / 30–39</w:t>
            </w:r>
          </w:p>
        </w:tc>
        <w:tc>
          <w:tcPr>
            <w:tcW w:type="dxa" w:w="3480"/>
          </w:tcPr>
          <w:p>
            <w:r/>
            <w:r>
              <w:rPr>
                <w:rFonts w:ascii="Times New Roman" w:hAnsi="Times New Roman"/>
                <w:sz w:val="18"/>
              </w:rPr>
              <w:t>0.93</w:t>
            </w:r>
          </w:p>
        </w:tc>
        <w:tc>
          <w:tcPr>
            <w:tcW w:type="dxa" w:w="3480"/>
          </w:tcPr>
          <w:p>
            <w:r/>
            <w:r>
              <w:rPr>
                <w:rFonts w:ascii="Times New Roman" w:hAnsi="Times New Roman"/>
                <w:sz w:val="18"/>
              </w:rPr>
              <w:t>pass</w:t>
            </w:r>
          </w:p>
        </w:tc>
      </w:tr>
      <w:tr>
        <w:tc>
          <w:tcPr>
            <w:tcW w:type="dxa" w:w="3480"/>
          </w:tcPr>
          <w:p>
            <w:r/>
            <w:r>
              <w:rPr>
                <w:rFonts w:ascii="Times New Roman" w:hAnsi="Times New Roman"/>
                <w:sz w:val="18"/>
              </w:rPr>
              <w:t>Marketing / F / 30–39</w:t>
            </w:r>
          </w:p>
        </w:tc>
        <w:tc>
          <w:tcPr>
            <w:tcW w:type="dxa" w:w="3480"/>
          </w:tcPr>
          <w:p>
            <w:r/>
            <w:r>
              <w:rPr>
                <w:rFonts w:ascii="Times New Roman" w:hAnsi="Times New Roman"/>
                <w:sz w:val="18"/>
              </w:rPr>
              <w:t>0.74</w:t>
            </w:r>
          </w:p>
        </w:tc>
        <w:tc>
          <w:tcPr>
            <w:tcW w:type="dxa" w:w="3480"/>
          </w:tcPr>
          <w:p>
            <w:r/>
            <w:r>
              <w:rPr>
                <w:rFonts w:ascii="Times New Roman" w:hAnsi="Times New Roman"/>
                <w:sz w:val="18"/>
              </w:rPr>
              <w:t>suppress</w:t>
            </w:r>
          </w:p>
        </w:tc>
      </w:tr>
      <w:tr>
        <w:tc>
          <w:tcPr>
            <w:tcW w:type="dxa" w:w="3480"/>
          </w:tcPr>
          <w:p>
            <w:r/>
            <w:r>
              <w:rPr>
                <w:rFonts w:ascii="Times New Roman" w:hAnsi="Times New Roman"/>
                <w:sz w:val="18"/>
              </w:rPr>
              <w:t>Operations / M</w:t>
            </w:r>
          </w:p>
        </w:tc>
        <w:tc>
          <w:tcPr>
            <w:tcW w:type="dxa" w:w="3480"/>
          </w:tcPr>
          <w:p>
            <w:r/>
            <w:r>
              <w:rPr>
                <w:rFonts w:ascii="Times New Roman" w:hAnsi="Times New Roman"/>
                <w:sz w:val="18"/>
              </w:rPr>
              <w:t>0.86</w:t>
            </w:r>
          </w:p>
        </w:tc>
        <w:tc>
          <w:tcPr>
            <w:tcW w:type="dxa" w:w="3480"/>
          </w:tcPr>
          <w:p>
            <w:r/>
            <w:r>
              <w:rPr>
                <w:rFonts w:ascii="Times New Roman" w:hAnsi="Times New Roman"/>
                <w:sz w:val="18"/>
              </w:rPr>
              <w:t>pass</w:t>
            </w:r>
          </w:p>
        </w:tc>
      </w:tr>
      <w:tr>
        <w:tc>
          <w:tcPr>
            <w:tcW w:type="dxa" w:w="3480"/>
          </w:tcPr>
          <w:p>
            <w:r/>
            <w:r>
              <w:rPr>
                <w:rFonts w:ascii="Times New Roman" w:hAnsi="Times New Roman"/>
                <w:sz w:val="18"/>
              </w:rPr>
              <w:t>Operations / F / 50+</w:t>
            </w:r>
          </w:p>
        </w:tc>
        <w:tc>
          <w:tcPr>
            <w:tcW w:type="dxa" w:w="3480"/>
          </w:tcPr>
          <w:p>
            <w:r/>
            <w:r>
              <w:rPr>
                <w:rFonts w:ascii="Times New Roman" w:hAnsi="Times New Roman"/>
                <w:sz w:val="18"/>
              </w:rPr>
              <w:t>0.68</w:t>
            </w:r>
          </w:p>
        </w:tc>
        <w:tc>
          <w:tcPr>
            <w:tcW w:type="dxa" w:w="3480"/>
          </w:tcPr>
          <w:p>
            <w:r/>
            <w:r>
              <w:rPr>
                <w:rFonts w:ascii="Times New Roman" w:hAnsi="Times New Roman"/>
                <w:sz w:val="18"/>
              </w:rPr>
              <w:t>suppress</w:t>
            </w:r>
          </w:p>
        </w:tc>
      </w:tr>
      <w:tr>
        <w:tc>
          <w:tcPr>
            <w:tcW w:type="dxa" w:w="3480"/>
          </w:tcPr>
          <w:p>
            <w:r/>
            <w:r>
              <w:rPr>
                <w:rFonts w:ascii="Times New Roman" w:hAnsi="Times New Roman"/>
                <w:sz w:val="18"/>
              </w:rPr>
              <w:t>HR / All</w:t>
            </w:r>
          </w:p>
        </w:tc>
        <w:tc>
          <w:tcPr>
            <w:tcW w:type="dxa" w:w="3480"/>
          </w:tcPr>
          <w:p>
            <w:r/>
            <w:r>
              <w:rPr>
                <w:rFonts w:ascii="Times New Roman" w:hAnsi="Times New Roman"/>
                <w:sz w:val="18"/>
              </w:rPr>
              <w:t>0.95</w:t>
            </w:r>
          </w:p>
        </w:tc>
        <w:tc>
          <w:tcPr>
            <w:tcW w:type="dxa" w:w="3480"/>
          </w:tcPr>
          <w:p>
            <w:r/>
            <w:r>
              <w:rPr>
                <w:rFonts w:ascii="Times New Roman" w:hAnsi="Times New Roman"/>
                <w:sz w:val="18"/>
              </w:rPr>
              <w:t>pass</w:t>
            </w:r>
          </w:p>
        </w:tc>
      </w:tr>
    </w:tbl>
    <w:p>
      <w:pPr>
        <w:spacing w:before="80" w:after="40"/>
        <w:jc w:val="left"/>
      </w:pPr>
      <w:r>
        <w:rPr>
          <w:rFonts w:ascii="Times New Roman" w:hAnsi="Times New Roman"/>
          <w:b/>
          <w:i/>
          <w:sz w:val="20"/>
        </w:rPr>
        <w:t>Latency (Table 4)</w:t>
      </w:r>
    </w:p>
    <w:tbl>
      <w:tblPr>
        <w:tblStyle w:val="LightGrid-Accent1"/>
        <w:tblW w:type="auto" w:w="0"/>
        <w:tblLook w:firstColumn="1" w:firstRow="1" w:lastColumn="0" w:lastRow="0" w:noHBand="0" w:noVBand="1" w:val="04A0"/>
      </w:tblPr>
      <w:tblGrid>
        <w:gridCol w:w="3480"/>
        <w:gridCol w:w="3480"/>
        <w:gridCol w:w="3480"/>
      </w:tblGrid>
      <w:tr>
        <w:tc>
          <w:tcPr>
            <w:tcW w:type="dxa" w:w="3480"/>
          </w:tcPr>
          <w:p>
            <w:r/>
            <w:r>
              <w:rPr>
                <w:rFonts w:ascii="Times New Roman" w:hAnsi="Times New Roman"/>
                <w:b/>
                <w:sz w:val="18"/>
              </w:rPr>
              <w:t>Surface</w:t>
            </w:r>
          </w:p>
        </w:tc>
        <w:tc>
          <w:tcPr>
            <w:tcW w:type="dxa" w:w="3480"/>
          </w:tcPr>
          <w:p>
            <w:r/>
            <w:r>
              <w:rPr>
                <w:rFonts w:ascii="Times New Roman" w:hAnsi="Times New Roman"/>
                <w:b/>
                <w:sz w:val="18"/>
              </w:rPr>
              <w:t>LLM up p50/p95 (ms)</w:t>
            </w:r>
          </w:p>
        </w:tc>
        <w:tc>
          <w:tcPr>
            <w:tcW w:type="dxa" w:w="3480"/>
          </w:tcPr>
          <w:p>
            <w:r/>
            <w:r>
              <w:rPr>
                <w:rFonts w:ascii="Times New Roman" w:hAnsi="Times New Roman"/>
                <w:b/>
                <w:sz w:val="18"/>
              </w:rPr>
              <w:t>LLM down p50/p95 (ms)</w:t>
            </w:r>
          </w:p>
        </w:tc>
      </w:tr>
      <w:tr>
        <w:tc>
          <w:tcPr>
            <w:tcW w:type="dxa" w:w="3480"/>
          </w:tcPr>
          <w:p>
            <w:r/>
            <w:r>
              <w:rPr>
                <w:rFonts w:ascii="Times New Roman" w:hAnsi="Times New Roman"/>
                <w:sz w:val="18"/>
              </w:rPr>
              <w:t>Executive</w:t>
            </w:r>
          </w:p>
        </w:tc>
        <w:tc>
          <w:tcPr>
            <w:tcW w:type="dxa" w:w="3480"/>
          </w:tcPr>
          <w:p>
            <w:r/>
            <w:r>
              <w:rPr>
                <w:rFonts w:ascii="Times New Roman" w:hAnsi="Times New Roman"/>
                <w:sz w:val="18"/>
              </w:rPr>
              <w:t>110/180</w:t>
            </w:r>
          </w:p>
        </w:tc>
        <w:tc>
          <w:tcPr>
            <w:tcW w:type="dxa" w:w="3480"/>
          </w:tcPr>
          <w:p>
            <w:r/>
            <w:r>
              <w:rPr>
                <w:rFonts w:ascii="Times New Roman" w:hAnsi="Times New Roman"/>
                <w:sz w:val="18"/>
              </w:rPr>
              <w:t>110/180</w:t>
            </w:r>
          </w:p>
        </w:tc>
      </w:tr>
      <w:tr>
        <w:tc>
          <w:tcPr>
            <w:tcW w:type="dxa" w:w="3480"/>
          </w:tcPr>
          <w:p>
            <w:r/>
            <w:r>
              <w:rPr>
                <w:rFonts w:ascii="Times New Roman" w:hAnsi="Times New Roman"/>
                <w:sz w:val="18"/>
              </w:rPr>
              <w:t>SHAP</w:t>
            </w:r>
          </w:p>
        </w:tc>
        <w:tc>
          <w:tcPr>
            <w:tcW w:type="dxa" w:w="3480"/>
          </w:tcPr>
          <w:p>
            <w:r/>
            <w:r>
              <w:rPr>
                <w:rFonts w:ascii="Times New Roman" w:hAnsi="Times New Roman"/>
                <w:sz w:val="18"/>
              </w:rPr>
              <w:t>240/320</w:t>
            </w:r>
          </w:p>
        </w:tc>
        <w:tc>
          <w:tcPr>
            <w:tcW w:type="dxa" w:w="3480"/>
          </w:tcPr>
          <w:p>
            <w:r/>
            <w:r>
              <w:rPr>
                <w:rFonts w:ascii="Times New Roman" w:hAnsi="Times New Roman"/>
                <w:sz w:val="18"/>
              </w:rPr>
              <w:t>240/320</w:t>
            </w:r>
          </w:p>
        </w:tc>
      </w:tr>
      <w:tr>
        <w:tc>
          <w:tcPr>
            <w:tcW w:type="dxa" w:w="3480"/>
          </w:tcPr>
          <w:p>
            <w:r/>
            <w:r>
              <w:rPr>
                <w:rFonts w:ascii="Times New Roman" w:hAnsi="Times New Roman"/>
                <w:sz w:val="18"/>
              </w:rPr>
              <w:t>Causal Uplift</w:t>
            </w:r>
          </w:p>
        </w:tc>
        <w:tc>
          <w:tcPr>
            <w:tcW w:type="dxa" w:w="3480"/>
          </w:tcPr>
          <w:p>
            <w:r/>
            <w:r>
              <w:rPr>
                <w:rFonts w:ascii="Times New Roman" w:hAnsi="Times New Roman"/>
                <w:sz w:val="18"/>
              </w:rPr>
              <w:t>200/280</w:t>
            </w:r>
          </w:p>
        </w:tc>
        <w:tc>
          <w:tcPr>
            <w:tcW w:type="dxa" w:w="3480"/>
          </w:tcPr>
          <w:p>
            <w:r/>
            <w:r>
              <w:rPr>
                <w:rFonts w:ascii="Times New Roman" w:hAnsi="Times New Roman"/>
                <w:sz w:val="18"/>
              </w:rPr>
              <w:t>200/280</w:t>
            </w:r>
          </w:p>
        </w:tc>
      </w:tr>
      <w:tr>
        <w:tc>
          <w:tcPr>
            <w:tcW w:type="dxa" w:w="3480"/>
          </w:tcPr>
          <w:p>
            <w:r/>
            <w:r>
              <w:rPr>
                <w:rFonts w:ascii="Times New Roman" w:hAnsi="Times New Roman"/>
                <w:sz w:val="18"/>
              </w:rPr>
              <w:t>Fairness</w:t>
            </w:r>
          </w:p>
        </w:tc>
        <w:tc>
          <w:tcPr>
            <w:tcW w:type="dxa" w:w="3480"/>
          </w:tcPr>
          <w:p>
            <w:r/>
            <w:r>
              <w:rPr>
                <w:rFonts w:ascii="Times New Roman" w:hAnsi="Times New Roman"/>
                <w:sz w:val="18"/>
              </w:rPr>
              <w:t>130/210</w:t>
            </w:r>
          </w:p>
        </w:tc>
        <w:tc>
          <w:tcPr>
            <w:tcW w:type="dxa" w:w="3480"/>
          </w:tcPr>
          <w:p>
            <w:r/>
            <w:r>
              <w:rPr>
                <w:rFonts w:ascii="Times New Roman" w:hAnsi="Times New Roman"/>
                <w:sz w:val="18"/>
              </w:rPr>
              <w:t>130/210</w:t>
            </w:r>
          </w:p>
        </w:tc>
      </w:tr>
      <w:tr>
        <w:tc>
          <w:tcPr>
            <w:tcW w:type="dxa" w:w="3480"/>
          </w:tcPr>
          <w:p>
            <w:r/>
            <w:r>
              <w:rPr>
                <w:rFonts w:ascii="Times New Roman" w:hAnsi="Times New Roman"/>
                <w:sz w:val="18"/>
              </w:rPr>
              <w:t>NL→SQL</w:t>
            </w:r>
          </w:p>
        </w:tc>
        <w:tc>
          <w:tcPr>
            <w:tcW w:type="dxa" w:w="3480"/>
          </w:tcPr>
          <w:p>
            <w:r/>
            <w:r>
              <w:rPr>
                <w:rFonts w:ascii="Times New Roman" w:hAnsi="Times New Roman"/>
                <w:sz w:val="18"/>
              </w:rPr>
              <w:t>1840/2310</w:t>
            </w:r>
          </w:p>
        </w:tc>
        <w:tc>
          <w:tcPr>
            <w:tcW w:type="dxa" w:w="3480"/>
          </w:tcPr>
          <w:p>
            <w:r/>
            <w:r>
              <w:rPr>
                <w:rFonts w:ascii="Times New Roman" w:hAnsi="Times New Roman"/>
                <w:sz w:val="18"/>
              </w:rPr>
              <w:t>380/720</w:t>
            </w:r>
          </w:p>
        </w:tc>
      </w:tr>
      <w:tr>
        <w:tc>
          <w:tcPr>
            <w:tcW w:type="dxa" w:w="3480"/>
          </w:tcPr>
          <w:p>
            <w:r/>
            <w:r>
              <w:rPr>
                <w:rFonts w:ascii="Times New Roman" w:hAnsi="Times New Roman"/>
                <w:sz w:val="18"/>
              </w:rPr>
              <w:t>Multilingual RAG</w:t>
            </w:r>
          </w:p>
        </w:tc>
        <w:tc>
          <w:tcPr>
            <w:tcW w:type="dxa" w:w="3480"/>
          </w:tcPr>
          <w:p>
            <w:r/>
            <w:r>
              <w:rPr>
                <w:rFonts w:ascii="Times New Roman" w:hAnsi="Times New Roman"/>
                <w:sz w:val="18"/>
              </w:rPr>
              <w:t>920/1250</w:t>
            </w:r>
          </w:p>
        </w:tc>
        <w:tc>
          <w:tcPr>
            <w:tcW w:type="dxa" w:w="3480"/>
          </w:tcPr>
          <w:p>
            <w:r/>
            <w:r>
              <w:rPr>
                <w:rFonts w:ascii="Times New Roman" w:hAnsi="Times New Roman"/>
                <w:sz w:val="18"/>
              </w:rPr>
              <w:t>280/410</w:t>
            </w:r>
          </w:p>
        </w:tc>
      </w:tr>
      <w:tr>
        <w:tc>
          <w:tcPr>
            <w:tcW w:type="dxa" w:w="3480"/>
          </w:tcPr>
          <w:p>
            <w:r/>
            <w:r>
              <w:rPr>
                <w:rFonts w:ascii="Times New Roman" w:hAnsi="Times New Roman"/>
                <w:sz w:val="18"/>
              </w:rPr>
              <w:t>End-to-end p95</w:t>
            </w:r>
          </w:p>
        </w:tc>
        <w:tc>
          <w:tcPr>
            <w:tcW w:type="dxa" w:w="3480"/>
          </w:tcPr>
          <w:p>
            <w:r/>
            <w:r>
              <w:rPr>
                <w:rFonts w:ascii="Times New Roman" w:hAnsi="Times New Roman"/>
                <w:sz w:val="18"/>
              </w:rPr>
              <w:t>410 ms</w:t>
            </w:r>
          </w:p>
        </w:tc>
        <w:tc>
          <w:tcPr>
            <w:tcW w:type="dxa" w:w="3480"/>
          </w:tcPr>
          <w:p>
            <w:r/>
            <w:r>
              <w:rPr>
                <w:rFonts w:ascii="Times New Roman" w:hAnsi="Times New Roman"/>
                <w:sz w:val="18"/>
              </w:rPr>
              <w:t>410 ms</w:t>
            </w:r>
          </w:p>
        </w:tc>
      </w:tr>
    </w:tbl>
    <w:p>
      <w:pPr>
        <w:spacing w:before="80" w:after="40"/>
        <w:jc w:val="left"/>
      </w:pPr>
      <w:r>
        <w:rPr>
          <w:rFonts w:ascii="Times New Roman" w:hAnsi="Times New Roman"/>
          <w:b/>
          <w:i/>
          <w:sz w:val="20"/>
        </w:rPr>
        <w:t>Ablation</w:t>
      </w:r>
    </w:p>
    <w:p>
      <w:pPr>
        <w:spacing w:after="40"/>
        <w:ind w:firstLine="288"/>
        <w:jc w:val="both"/>
      </w:pPr>
      <w:r>
        <w:rPr>
          <w:rFonts w:ascii="Times New Roman" w:hAnsi="Times New Roman"/>
          <w:b w:val="0"/>
          <w:i w:val="0"/>
          <w:sz w:val="20"/>
        </w:rPr>
        <w:t>Removing the fairness gate would have surfaced biased recommendations to the 3 suppressed cohorts (~8.4% of the workforce). Removing the salted Review_ID would have displayed raw employee_id on every surface, reproducing the documented exposure of incumbent tools.</w:t>
      </w:r>
    </w:p>
    <w:p>
      <w:pPr>
        <w:spacing w:before="160" w:after="80"/>
        <w:jc w:val="center"/>
      </w:pPr>
      <w:r>
        <w:rPr>
          <w:rFonts w:ascii="Times New Roman" w:hAnsi="Times New Roman"/>
          <w:b/>
          <w:sz w:val="20"/>
        </w:rPr>
        <w:t>X. 9. DISCUSSION</w:t>
      </w:r>
    </w:p>
    <w:p>
      <w:pPr>
        <w:pStyle w:val="ListBullet"/>
      </w:pPr>
      <w:r>
        <w:rPr>
          <w:rFonts w:ascii="Times New Roman" w:hAnsi="Times New Roman"/>
          <w:b w:val="0"/>
          <w:i w:val="0"/>
          <w:sz w:val="20"/>
        </w:rPr>
        <w:t>Suppression vs. flagging. Suppression sacrifices reviewer-visible</w:t>
      </w:r>
    </w:p>
    <w:p>
      <w:pPr>
        <w:spacing w:after="40"/>
        <w:ind w:firstLine="288"/>
        <w:jc w:val="both"/>
      </w:pPr>
      <w:r>
        <w:rPr>
          <w:rFonts w:ascii="Times New Roman" w:hAnsi="Times New Roman"/>
          <w:b w:val="0"/>
          <w:i w:val="0"/>
          <w:sz w:val="20"/>
        </w:rPr>
        <w:t>information about the gate-failed cohort; we compensate by escalating to HR-ops via the audit log. The trade-off is explicit and deliberate.</w:t>
      </w:r>
    </w:p>
    <w:p>
      <w:pPr>
        <w:pStyle w:val="ListBullet"/>
      </w:pPr>
      <w:r>
        <w:rPr>
          <w:rFonts w:ascii="Times New Roman" w:hAnsi="Times New Roman"/>
          <w:b w:val="0"/>
          <w:i w:val="0"/>
          <w:sz w:val="20"/>
        </w:rPr>
        <w:t>Threats to validity. (i) Synthetic data; calibration on real corpora</w:t>
      </w:r>
    </w:p>
    <w:p>
      <w:pPr>
        <w:spacing w:after="40"/>
        <w:ind w:firstLine="288"/>
        <w:jc w:val="both"/>
      </w:pPr>
      <w:r>
        <w:rPr>
          <w:rFonts w:ascii="Times New Roman" w:hAnsi="Times New Roman"/>
          <w:b w:val="0"/>
          <w:i w:val="0"/>
          <w:sz w:val="20"/>
        </w:rPr>
        <w:t>may differ. (ii) Single-attribute cohorts only; intersectional fairness is future work. (iii) Synthetic intervention log; production deployment requires instrumenting actual interventions.</w:t>
      </w:r>
    </w:p>
    <w:p>
      <w:pPr>
        <w:pStyle w:val="ListBullet"/>
      </w:pPr>
      <w:r>
        <w:rPr>
          <w:rFonts w:ascii="Times New Roman" w:hAnsi="Times New Roman"/>
          <w:b w:val="0"/>
          <w:i w:val="0"/>
          <w:sz w:val="20"/>
        </w:rPr>
        <w:t>Patent positioning. Open-source release does not prejudice the</w:t>
      </w:r>
    </w:p>
    <w:p>
      <w:pPr>
        <w:spacing w:after="40"/>
        <w:ind w:firstLine="288"/>
        <w:jc w:val="both"/>
      </w:pPr>
      <w:r>
        <w:rPr>
          <w:rFonts w:ascii="Times New Roman" w:hAnsi="Times New Roman"/>
          <w:b w:val="0"/>
          <w:i w:val="0"/>
          <w:sz w:val="20"/>
        </w:rPr>
        <w:t>provisional priority date.</w:t>
      </w:r>
    </w:p>
    <w:p>
      <w:pPr>
        <w:spacing w:before="160" w:after="80"/>
        <w:jc w:val="center"/>
      </w:pPr>
      <w:r>
        <w:rPr>
          <w:rFonts w:ascii="Times New Roman" w:hAnsi="Times New Roman"/>
          <w:b/>
          <w:sz w:val="20"/>
        </w:rPr>
        <w:t>XI. 10. ETHICS STATEMENT</w:t>
      </w:r>
    </w:p>
    <w:p>
      <w:pPr>
        <w:spacing w:after="40"/>
        <w:ind w:firstLine="288"/>
        <w:jc w:val="both"/>
      </w:pPr>
      <w:r>
        <w:rPr>
          <w:rFonts w:ascii="Times New Roman" w:hAnsi="Times New Roman"/>
          <w:b w:val="0"/>
          <w:i w:val="0"/>
          <w:sz w:val="20"/>
        </w:rPr>
        <w:t>All experiments use synthetic data. Fairness gate is blocking, not advisory. Salted Review_IDs prevent reviewer-side re-identification. All audit decisions logged. Code and synthetic dataset released MIT.</w:t>
      </w:r>
    </w:p>
    <w:p>
      <w:pPr>
        <w:spacing w:before="160" w:after="80"/>
        <w:jc w:val="center"/>
      </w:pPr>
      <w:r>
        <w:rPr>
          <w:rFonts w:ascii="Times New Roman" w:hAnsi="Times New Roman"/>
          <w:b/>
          <w:sz w:val="20"/>
        </w:rPr>
        <w:t>XII. 11. CONCLUSION</w:t>
      </w:r>
    </w:p>
    <w:p>
      <w:pPr>
        <w:spacing w:after="40"/>
        <w:ind w:firstLine="288"/>
        <w:jc w:val="both"/>
      </w:pPr>
      <w:r>
        <w:rPr>
          <w:rFonts w:ascii="Times New Roman" w:hAnsi="Times New Roman"/>
          <w:b w:val="0"/>
          <w:i w:val="0"/>
          <w:sz w:val="20"/>
        </w:rPr>
        <w:t>We presented AttriSense, the first published end-to-end workforce-attrition system that combines (i) calibrated risk, (ii) fairness as a blocking gate, (iii) causal CATE intervention selection, (iv) salted pseudonymous explanations, and (v) provider-fallback NL/RAG surfaces. All five primitives are embedded in the production presentation path on commodity hardware (p95 = 410 ms). Code, synthetic corpus, and dashboard are released. The combination is disclosed in a parallel US provisional patent application.</w:t>
      </w:r>
    </w:p>
    <w:p>
      <w:pPr>
        <w:spacing w:before="80" w:after="40"/>
        <w:jc w:val="left"/>
      </w:pPr>
      <w:r>
        <w:rPr>
          <w:rFonts w:ascii="Times New Roman" w:hAnsi="Times New Roman"/>
          <w:b/>
          <w:i/>
          <w:sz w:val="20"/>
        </w:rPr>
        <w:t>References</w:t>
      </w:r>
    </w:p>
    <w:p>
      <w:pPr>
        <w:spacing w:after="40"/>
        <w:ind w:firstLine="288"/>
        <w:jc w:val="both"/>
      </w:pPr>
      <w:r>
        <w:rPr>
          <w:rFonts w:ascii="Times New Roman" w:hAnsi="Times New Roman"/>
          <w:b w:val="0"/>
          <w:i w:val="0"/>
          <w:sz w:val="20"/>
        </w:rPr>
        <w:t>[1] U.S. BLS, Job Openings and Labor Turnover Survey (JOLTS), 2025. [2] S. Barocas, M. Hardt, A. Narayanan, Fairness and Machine Learning, 2019. [3] S. Bird et al., "Fairlearn", MSR-TR-2020-32, 2020. [4] R.K.E. Bellamy et al., "AI Fairness 360", IBM J. R&amp;D, 2019. [5] S. Athey, G.W. Imbens, "ML methods for heterogeneous causal effects", 2019. [6] Microsoft Research, "EconML", v0.x, 2019. [7] IBM Corp., "Kenexa Predictive Attrition", 2018. [8] Workday Inc., "Retention Risk", 2022. [9] Microsoft Corp., "Viva Insights", 2023. [10] Visier Inc., 2024. [11] Crunchr B.V., 2024. [12] C. Dwork, A. Roth, "Algorithmic foundations of DP", FnT TCS 9, 2014. [13] P. Lewis et al., "RAG for knowledge-intensive NLP", NeurIPS 2020.</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