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AttriSense: A Multi-Modal Framework for Proactive Employee Flight-Risk Prediction Combining Imbalanced Tabular Learning, Retrieval-Augmented Generation, and Natural-Language SQL</w:t>
      </w:r>
    </w:p>
    <w:p>
      <w:pPr>
        <w:jc w:val="center"/>
      </w:pPr>
      <w:r>
        <w:rPr>
          <w:rFonts w:ascii="Times New Roman" w:hAnsi="Times New Roman"/>
          <w:b/>
          <w:sz w:val="22"/>
        </w:rPr>
        <w:t>Sharada Dogiparthi</w:t>
      </w:r>
    </w:p>
    <w:p>
      <w:pPr>
        <w:spacing w:after="240"/>
        <w:jc w:val="center"/>
      </w:pPr>
      <w:r>
        <w:rPr>
          <w:rFonts w:ascii="Times New Roman" w:hAnsi="Times New Roman"/>
          <w:i/>
          <w:sz w:val="20"/>
        </w:rPr>
        <w:t>Master of Science in Business Analytics</w:t>
        <w:br/>
        <w:t>California State University, East Bay</w:t>
        <w:br/>
        <w:t>Hayward, CA, USA</w:t>
        <w:br/>
        <w:t>sdogiparthi@horizon.csueb.edu</w:t>
      </w:r>
    </w:p>
    <w:p>
      <w:pPr>
        <w:sectPr>
          <w:pgSz w:w="12240" w:h="15840"/>
          <w:pgMar w:top="1080" w:right="900" w:bottom="1440" w:left="900" w:header="720" w:footer="720" w:gutter="0"/>
          <w:cols w:space="720"/>
          <w:docGrid w:linePitch="360"/>
        </w:sectPr>
      </w:pPr>
    </w:p>
    <w:p>
      <w:r>
        <w:rPr>
          <w:rFonts w:ascii="Times New Roman" w:hAnsi="Times New Roman"/>
          <w:b/>
          <w:i/>
          <w:sz w:val="18"/>
        </w:rPr>
        <w:t>Abstract—</w:t>
      </w:r>
    </w:p>
    <w:p>
      <w:pPr>
        <w:spacing w:after="120"/>
        <w:jc w:val="both"/>
      </w:pPr>
      <w:r>
        <w:rPr>
          <w:rFonts w:ascii="Times New Roman" w:hAnsi="Times New Roman"/>
          <w:i/>
          <w:sz w:val="18"/>
        </w:rPr>
        <w:t>Voluntary employee turnover is one of the costliest, least-instrumented risks in modern enterprises, with direct replacement cost estimated at 1.5–2.0× annual salary for skilled technical roles. Existing human-resources analytics tools either (i) report descriptive statistics after the fact, or (ii) provide opaque predictive scores that managers do not trust and cannot act on. We present AttriSense, an end-to-end open-source framework that fuses three complementary modalities: (1) an imbalanced-classification flight-risk model (Random Forest with SMOTE), (2) a Retrieval-Augmented Generation (RAG) layer over qualitative exit-interview corpora using a FAISS dense index, and (3) a Natural-Language-to-SQL (NL2SQL) agent over a relational HR data warehouse. Together they produce per-employee risk scores grounded in both quantitative drivers and qualitative precedent, and expose the underlying data lake to non-technical HR users through plain English. On a 5,000-employee synthetic enterprise corpus calibrated to published HR-attrition distributions, AttriSense achieves ROC-AUC of 0.91, PR-AUC of 0.74, and reduces analyst-mediated query latency from a median of 2.3 days to under 12 seconds end-to-end. We release the full system, dataset generator, evaluation harness, and a reproducible Streamlit dashboard. Reproducibility note: the implementation was developed collaboratively with large-language-model coding assistants; all code, prompts, and design decisions were human-reviewed and are publicly auditable in the project repository.</w:t>
      </w:r>
    </w:p>
    <w:p>
      <w:pPr>
        <w:spacing w:after="160"/>
      </w:pPr>
      <w:r>
        <w:rPr>
          <w:rFonts w:ascii="Times New Roman" w:hAnsi="Times New Roman"/>
          <w:b/>
          <w:i/>
          <w:sz w:val="18"/>
        </w:rPr>
        <w:t>Index Terms—</w:t>
      </w:r>
      <w:r>
        <w:rPr>
          <w:sz w:val="18"/>
        </w:rPr>
        <w:t>people analytics, employee attrition, flight risk, imbalanced classification, SMOTE, retrieval-augmented generation, FAISS, NL2SQL, large language models, explainable AI, business analytics.</w:t>
      </w:r>
    </w:p>
    <w:p>
      <w:pPr>
        <w:spacing w:before="160" w:after="80"/>
        <w:jc w:val="center"/>
      </w:pPr>
      <w:r>
        <w:rPr>
          <w:rFonts w:ascii="Times New Roman" w:hAnsi="Times New Roman"/>
          <w:b/>
          <w:sz w:val="20"/>
        </w:rPr>
        <w:t>I. Introduction</w:t>
      </w:r>
    </w:p>
    <w:p>
      <w:pPr>
        <w:spacing w:after="40"/>
        <w:ind w:firstLine="288"/>
        <w:jc w:val="both"/>
      </w:pPr>
      <w:r>
        <w:rPr>
          <w:rFonts w:ascii="Times New Roman" w:hAnsi="Times New Roman"/>
          <w:sz w:val="20"/>
        </w:rPr>
        <w:t>Voluntary attrition imposes a structural cost on knowledge-intensive firms that compounds beyond the line item of recruiter fees. Bersin [1] estimates the total replacement cost of a mid-career engineer at 1.5× to 2.0× annual salary once ramp-up time, lost institutional knowledge, and team productivity disruption are accounted for. Yet enterprise HR systems remain overwhelmingly descriptive: they answer "who left last quarter?" rather than "who is about to leave, and what should the manager do about it on Monday morning?"</w:t>
      </w:r>
    </w:p>
    <w:p>
      <w:pPr>
        <w:spacing w:after="40"/>
        <w:ind w:firstLine="288"/>
        <w:jc w:val="both"/>
      </w:pPr>
      <w:r>
        <w:rPr>
          <w:rFonts w:ascii="Times New Roman" w:hAnsi="Times New Roman"/>
          <w:sz w:val="20"/>
        </w:rPr>
        <w:t>Three gaps explain this stagnation:</w:t>
      </w:r>
    </w:p>
    <w:p>
      <w:pPr>
        <w:pStyle w:val="ListBullet"/>
        <w:spacing w:after="0"/>
      </w:pPr>
      <w:r>
        <w:rPr>
          <w:rFonts w:ascii="Times New Roman" w:hAnsi="Times New Roman"/>
          <w:sz w:val="20"/>
        </w:rPr>
        <w:t>The trust gap. Predictive HR models, when deployed, behave as black boxes. Managers refuse to act on a score they cannot explain to the employee in question.</w:t>
      </w:r>
    </w:p>
    <w:p>
      <w:pPr>
        <w:pStyle w:val="ListBullet"/>
        <w:spacing w:after="0"/>
      </w:pPr>
      <w:r>
        <w:rPr>
          <w:rFonts w:ascii="Times New Roman" w:hAnsi="Times New Roman"/>
          <w:sz w:val="20"/>
        </w:rPr>
        <w:t>The qualitative gap. Most predictive systems consume only structured tabular features (tenure, salary, performance rating) and ignore the rich free-text signal available in exit interviews, 1:1 notes, and engagement surveys.</w:t>
      </w:r>
    </w:p>
    <w:p>
      <w:pPr>
        <w:pStyle w:val="ListBullet"/>
        <w:spacing w:after="0"/>
      </w:pPr>
      <w:r>
        <w:rPr>
          <w:rFonts w:ascii="Times New Roman" w:hAnsi="Times New Roman"/>
          <w:sz w:val="20"/>
        </w:rPr>
        <w:t>The access gap. HR data lakes are typically gated behind analyst SQL queues with multi-day latency, making real-time managerial use impossible.</w:t>
      </w:r>
    </w:p>
    <w:p>
      <w:pPr>
        <w:spacing w:after="40"/>
        <w:ind w:firstLine="288"/>
        <w:jc w:val="both"/>
      </w:pPr>
      <w:r>
        <w:rPr>
          <w:rFonts w:ascii="Times New Roman" w:hAnsi="Times New Roman"/>
          <w:sz w:val="20"/>
        </w:rPr>
        <w:t>This paper introduces AttriSense, a unified framework that addresses all three gaps in a single open-source system. Our contributions are: (a) a reproducible imbalanced-classification baseline using Random Forest with SMOTE, with full per-bucket precision/recall, calibration, and PR-AUC reporting; (b) a Retrieval-Augmented Generation pipeline that grounds quantitative risk scores in semantically retrieved qualitative exit-interview evidence; (c) a schema-aware NL2SQL agent built on LangChain [16] and GPT-3.5/4-class LLMs [15], with a 50-question gold evaluation set; and (d) a unified Streamlit dashboard, released open-source under MIT license alongside a fully synthetic 5,000-employee dataset generator and FAISS exit-interview corpus.</w:t>
      </w:r>
    </w:p>
    <w:p>
      <w:pPr>
        <w:spacing w:before="160" w:after="80"/>
        <w:jc w:val="center"/>
      </w:pPr>
      <w:r>
        <w:rPr>
          <w:rFonts w:ascii="Times New Roman" w:hAnsi="Times New Roman"/>
          <w:b/>
          <w:sz w:val="20"/>
        </w:rPr>
        <w:t>II. Related Work</w:t>
      </w:r>
    </w:p>
    <w:p>
      <w:pPr>
        <w:spacing w:before="80" w:after="40"/>
        <w:jc w:val="left"/>
      </w:pPr>
      <w:r>
        <w:rPr>
          <w:rFonts w:ascii="Times New Roman" w:hAnsi="Times New Roman"/>
          <w:b/>
          <w:i/>
          <w:sz w:val="20"/>
        </w:rPr>
        <w:t>A. Predictive Attrition Modeling</w:t>
      </w:r>
    </w:p>
    <w:p>
      <w:pPr>
        <w:spacing w:after="40"/>
        <w:ind w:firstLine="288"/>
        <w:jc w:val="both"/>
      </w:pPr>
      <w:r>
        <w:rPr>
          <w:rFonts w:ascii="Times New Roman" w:hAnsi="Times New Roman"/>
          <w:sz w:val="20"/>
        </w:rPr>
        <w:t>Early work on employee attrition prediction relied on logistic regression and decision trees over IBM-released benchmarks [2]. Saradhi and Palshikar [3] demonstrated that ensemble methods outperform single learners on attrition tasks. Sexton et al. [4] introduced neural-network-based turnover models. More recent work [5] explores deep-learning architectures but typically reports only accuracy, masking the severe class imbalance (~10–15% positive rate in real HR data) that makes accuracy a misleading metric.</w:t>
      </w:r>
    </w:p>
    <w:p>
      <w:pPr>
        <w:spacing w:before="80" w:after="40"/>
        <w:jc w:val="left"/>
      </w:pPr>
      <w:r>
        <w:rPr>
          <w:rFonts w:ascii="Times New Roman" w:hAnsi="Times New Roman"/>
          <w:b/>
          <w:i/>
          <w:sz w:val="20"/>
        </w:rPr>
        <w:t>B. Imbalanced Classification</w:t>
      </w:r>
    </w:p>
    <w:p>
      <w:pPr>
        <w:spacing w:after="40"/>
        <w:ind w:firstLine="288"/>
        <w:jc w:val="both"/>
      </w:pPr>
      <w:r>
        <w:rPr>
          <w:rFonts w:ascii="Times New Roman" w:hAnsi="Times New Roman"/>
          <w:sz w:val="20"/>
        </w:rPr>
        <w:t>The Synthetic Minority Over-sampling Technique (SMOTE) [6] remains the dominant approach for handling HR class imbalance. Recent variants include Borderline-SMOTE and ADASYN. We adopt vanilla SMOTE for baseline reproducibility but report calibration and PR-AUC—which are sensitive to imbalance—in addition to accuracy.</w:t>
      </w:r>
    </w:p>
    <w:p>
      <w:pPr>
        <w:spacing w:before="80" w:after="40"/>
        <w:jc w:val="left"/>
      </w:pPr>
      <w:r>
        <w:rPr>
          <w:rFonts w:ascii="Times New Roman" w:hAnsi="Times New Roman"/>
          <w:b/>
          <w:i/>
          <w:sz w:val="20"/>
        </w:rPr>
        <w:t>C. Retrieval-Augmented Generation</w:t>
      </w:r>
    </w:p>
    <w:p>
      <w:pPr>
        <w:spacing w:after="40"/>
        <w:ind w:firstLine="288"/>
        <w:jc w:val="both"/>
      </w:pPr>
      <w:r>
        <w:rPr>
          <w:rFonts w:ascii="Times New Roman" w:hAnsi="Times New Roman"/>
          <w:sz w:val="20"/>
        </w:rPr>
        <w:t>Lewis et al. [7] formalized RAG as a paradigm for grounding generative models in external corpora. Subsequent work has applied RAG to legal, medical, and customer-support domains, but applications to HR free-text remain underexplored. We use FAISS [8] for dense retrieval over an exit-interview embedding index.</w:t>
      </w:r>
    </w:p>
    <w:p>
      <w:pPr>
        <w:spacing w:before="80" w:after="40"/>
        <w:jc w:val="left"/>
      </w:pPr>
      <w:r>
        <w:rPr>
          <w:rFonts w:ascii="Times New Roman" w:hAnsi="Times New Roman"/>
          <w:b/>
          <w:i/>
          <w:sz w:val="20"/>
        </w:rPr>
        <w:t>D. Natural-Language Interfaces to Databases</w:t>
      </w:r>
    </w:p>
    <w:p>
      <w:pPr>
        <w:spacing w:after="40"/>
        <w:ind w:firstLine="288"/>
        <w:jc w:val="both"/>
      </w:pPr>
      <w:r>
        <w:rPr>
          <w:rFonts w:ascii="Times New Roman" w:hAnsi="Times New Roman"/>
          <w:sz w:val="20"/>
        </w:rPr>
        <w:t>NL2SQL has a long history [9]; modern LLM-based agents [10, 11] achieve state-of-the-art accuracy on Spider and BIRD benchmarks. We adapt the LangChain SQL agent pattern with schema injection and self-correction, evaluating against a hand-curated HR question set.</w:t>
      </w:r>
    </w:p>
    <w:p>
      <w:pPr>
        <w:spacing w:before="80" w:after="40"/>
        <w:jc w:val="left"/>
      </w:pPr>
      <w:r>
        <w:rPr>
          <w:rFonts w:ascii="Times New Roman" w:hAnsi="Times New Roman"/>
          <w:b/>
          <w:i/>
          <w:sz w:val="20"/>
        </w:rPr>
        <w:t>E. Explainability and Fairness in HR AI</w:t>
      </w:r>
    </w:p>
    <w:p>
      <w:pPr>
        <w:spacing w:after="40"/>
        <w:ind w:firstLine="288"/>
        <w:jc w:val="both"/>
      </w:pPr>
      <w:r>
        <w:rPr>
          <w:rFonts w:ascii="Times New Roman" w:hAnsi="Times New Roman"/>
          <w:sz w:val="20"/>
        </w:rPr>
        <w:t>Recent regulatory frameworks (EU AI Act, NYC Local Law 144 [13]) classify automated employment decision tools as high-risk, mandating bias audits and transparency. We treat fairness audit and SHAP [12] explainability as first-class system components rather than afterthoughts.</w:t>
      </w:r>
    </w:p>
    <w:p>
      <w:pPr>
        <w:spacing w:before="160" w:after="80"/>
        <w:jc w:val="center"/>
      </w:pPr>
      <w:r>
        <w:rPr>
          <w:rFonts w:ascii="Times New Roman" w:hAnsi="Times New Roman"/>
          <w:b/>
          <w:sz w:val="20"/>
        </w:rPr>
        <w:t>III. Data</w:t>
      </w:r>
    </w:p>
    <w:p>
      <w:pPr>
        <w:spacing w:before="80" w:after="40"/>
        <w:jc w:val="left"/>
      </w:pPr>
      <w:r>
        <w:rPr>
          <w:rFonts w:ascii="Times New Roman" w:hAnsi="Times New Roman"/>
          <w:b/>
          <w:i/>
          <w:sz w:val="20"/>
        </w:rPr>
        <w:t>A. Synthetic Enterprise Corpus</w:t>
      </w:r>
    </w:p>
    <w:p>
      <w:pPr>
        <w:spacing w:after="40"/>
        <w:ind w:firstLine="288"/>
        <w:jc w:val="both"/>
      </w:pPr>
      <w:r>
        <w:rPr>
          <w:rFonts w:ascii="Times New Roman" w:hAnsi="Times New Roman"/>
          <w:sz w:val="20"/>
        </w:rPr>
        <w:t>Real HR data is fundamentally restricted by privacy regulation and employment law, and most published academic work uses the small (n=1,470) IBM HR Analytics dataset [2], which fails to capture department-level heterogeneity. To enable reproducible research at enterprise scale without exposing real PII, we built a parametric synthetic generator producing a 5,000-employee corpus calibrated to published HR-attrition distributions across:</w:t>
      </w:r>
    </w:p>
    <w:p>
      <w:pPr>
        <w:pStyle w:val="ListBullet"/>
        <w:spacing w:after="0"/>
      </w:pPr>
      <w:r>
        <w:rPr>
          <w:rFonts w:ascii="Times New Roman" w:hAnsi="Times New Roman"/>
          <w:sz w:val="20"/>
        </w:rPr>
        <w:t>demographics (age, tenure, department, location);</w:t>
      </w:r>
    </w:p>
    <w:p>
      <w:pPr>
        <w:pStyle w:val="ListBullet"/>
        <w:spacing w:after="0"/>
      </w:pPr>
      <w:r>
        <w:rPr>
          <w:rFonts w:ascii="Times New Roman" w:hAnsi="Times New Roman"/>
          <w:sz w:val="20"/>
        </w:rPr>
        <w:t>compensation (base salary, bonus, equity tier);</w:t>
      </w:r>
    </w:p>
    <w:p>
      <w:pPr>
        <w:pStyle w:val="ListBullet"/>
        <w:spacing w:after="0"/>
      </w:pPr>
      <w:r>
        <w:rPr>
          <w:rFonts w:ascii="Times New Roman" w:hAnsi="Times New Roman"/>
          <w:sz w:val="20"/>
        </w:rPr>
        <w:t>performance (rating, promotion velocity, manager span);</w:t>
      </w:r>
    </w:p>
    <w:p>
      <w:pPr>
        <w:pStyle w:val="ListBullet"/>
        <w:spacing w:after="0"/>
      </w:pPr>
      <w:r>
        <w:rPr>
          <w:rFonts w:ascii="Times New Roman" w:hAnsi="Times New Roman"/>
          <w:sz w:val="20"/>
        </w:rPr>
        <w:t>engagement signals (survey scores, training completion); and</w:t>
      </w:r>
    </w:p>
    <w:p>
      <w:pPr>
        <w:pStyle w:val="ListBullet"/>
        <w:spacing w:after="0"/>
      </w:pPr>
      <w:r>
        <w:rPr>
          <w:rFonts w:ascii="Times New Roman" w:hAnsi="Times New Roman"/>
          <w:sz w:val="20"/>
        </w:rPr>
        <w:t>outcome labels (leaver/stayer; if leaver, voluntary/involuntary).</w:t>
      </w:r>
    </w:p>
    <w:p>
      <w:pPr>
        <w:spacing w:after="40"/>
        <w:ind w:firstLine="288"/>
        <w:jc w:val="both"/>
      </w:pPr>
      <w:r>
        <w:rPr>
          <w:rFonts w:ascii="Times New Roman" w:hAnsi="Times New Roman"/>
          <w:sz w:val="20"/>
        </w:rPr>
        <w:t>The generator is parameterized by company size, department mix, attrition base rate, and seed; it produces both the structured tabular table and 500 synthetic exit-interview free-text narratives sampled from a templated reason taxonomy (compensation, career-growth, manager-relationship, work-life-balance, role-fit).</w:t>
      </w:r>
    </w:p>
    <w:p>
      <w:pPr>
        <w:spacing w:before="80" w:after="40"/>
        <w:jc w:val="left"/>
      </w:pPr>
      <w:r>
        <w:rPr>
          <w:rFonts w:ascii="Times New Roman" w:hAnsi="Times New Roman"/>
          <w:b/>
          <w:i/>
          <w:sz w:val="20"/>
        </w:rPr>
        <w:t>B. Schema and Storage</w:t>
      </w:r>
    </w:p>
    <w:p>
      <w:pPr>
        <w:spacing w:after="40"/>
        <w:ind w:firstLine="288"/>
        <w:jc w:val="both"/>
      </w:pPr>
      <w:r>
        <w:rPr>
          <w:rFonts w:ascii="Times New Roman" w:hAnsi="Times New Roman"/>
          <w:sz w:val="20"/>
        </w:rPr>
        <w:t>Tabular data is stored in SQLite for portability; the FAISS index of exit-interview embeddings is persisted as a flat-index file.</w:t>
      </w:r>
    </w:p>
    <w:p>
      <w:pPr>
        <w:spacing w:before="160" w:after="80"/>
        <w:jc w:val="center"/>
      </w:pPr>
      <w:r>
        <w:rPr>
          <w:rFonts w:ascii="Times New Roman" w:hAnsi="Times New Roman"/>
          <w:b/>
          <w:sz w:val="20"/>
        </w:rPr>
        <w:t>IV. Methodology</w:t>
      </w:r>
    </w:p>
    <w:p>
      <w:pPr>
        <w:spacing w:before="80" w:after="40"/>
        <w:jc w:val="left"/>
      </w:pPr>
      <w:r>
        <w:rPr>
          <w:rFonts w:ascii="Times New Roman" w:hAnsi="Times New Roman"/>
          <w:b/>
          <w:i/>
          <w:sz w:val="20"/>
        </w:rPr>
        <w:t>A. System Architecture</w:t>
      </w:r>
    </w:p>
    <w:p>
      <w:pPr>
        <w:spacing w:after="40"/>
        <w:ind w:firstLine="288"/>
        <w:jc w:val="both"/>
      </w:pPr>
      <w:r>
        <w:rPr>
          <w:rFonts w:ascii="Times New Roman" w:hAnsi="Times New Roman"/>
          <w:sz w:val="20"/>
        </w:rPr>
        <w:t>AttriSense consists of four cooperating subsystems: (i) the predictive engine, (ii) the RAG layer, (iii) the NL2SQL agent, and (iv) the Streamlit presentation layer. The architecture diagram is included as Fig. 1 in the supplementary repository.</w:t>
      </w:r>
    </w:p>
    <w:p>
      <w:pPr>
        <w:spacing w:before="80" w:after="40"/>
        <w:jc w:val="left"/>
      </w:pPr>
      <w:r>
        <w:rPr>
          <w:rFonts w:ascii="Times New Roman" w:hAnsi="Times New Roman"/>
          <w:b/>
          <w:i/>
          <w:sz w:val="20"/>
        </w:rPr>
        <w:t>B. Predictive Flight-Risk Engine</w:t>
      </w:r>
    </w:p>
    <w:p>
      <w:pPr>
        <w:spacing w:after="40"/>
        <w:ind w:firstLine="288"/>
        <w:jc w:val="both"/>
      </w:pPr>
      <w:r>
        <w:rPr>
          <w:rFonts w:ascii="Times New Roman" w:hAnsi="Times New Roman"/>
          <w:sz w:val="20"/>
        </w:rPr>
        <w:t>We train a Random Forest classifier (n_trees = 300, max-depth tuned via 5-fold CV) on the tabular feature matrix. Class imbalance is handled with SMOTE applied only to the training fold to avoid data leakage. The model output is the calibrated probability p(leave | x), bucketed into High (p &gt; 0.75), Medium (0.40 &lt; p ≤ 0.75), and Low (p ≤ 0.40). Feature attributions are computed per-prediction using SHAP [12] TreeExplainer; the top-3 contributing features are surfaced to the manager-facing UI.</w:t>
      </w:r>
    </w:p>
    <w:p>
      <w:pPr>
        <w:spacing w:before="80" w:after="40"/>
        <w:jc w:val="left"/>
      </w:pPr>
      <w:r>
        <w:rPr>
          <w:rFonts w:ascii="Times New Roman" w:hAnsi="Times New Roman"/>
          <w:b/>
          <w:i/>
          <w:sz w:val="20"/>
        </w:rPr>
        <w:t>C. RAG Layer over Exit Interviews</w:t>
      </w:r>
    </w:p>
    <w:p>
      <w:pPr>
        <w:spacing w:after="40"/>
        <w:ind w:firstLine="288"/>
        <w:jc w:val="both"/>
      </w:pPr>
      <w:r>
        <w:rPr>
          <w:rFonts w:ascii="Times New Roman" w:hAnsi="Times New Roman"/>
          <w:sz w:val="20"/>
        </w:rPr>
        <w:t>Each exit-interview narrative is embedded with the OpenAI text-embedding-3-small model (1,536-dim) and inserted into a FAISS IndexFlatIP index. At inference, given a high-risk employee e, we form a retrieval query from the top-3 SHAP feature names plus e's department and tenure band; we retrieve the top-k = 5 nearest exit-interview neighbors. The retrieved snippets are passed to a GPT-4-class LLM with a constrained prompt to produce a manager-facing 3-bullet retention rationale.</w:t>
      </w:r>
    </w:p>
    <w:p>
      <w:pPr>
        <w:spacing w:before="80" w:after="40"/>
        <w:jc w:val="left"/>
      </w:pPr>
      <w:r>
        <w:rPr>
          <w:rFonts w:ascii="Times New Roman" w:hAnsi="Times New Roman"/>
          <w:b/>
          <w:i/>
          <w:sz w:val="20"/>
        </w:rPr>
        <w:t>D. NL2SQL Agent</w:t>
      </w:r>
    </w:p>
    <w:p>
      <w:pPr>
        <w:spacing w:after="40"/>
        <w:ind w:firstLine="288"/>
        <w:jc w:val="both"/>
      </w:pPr>
      <w:r>
        <w:rPr>
          <w:rFonts w:ascii="Times New Roman" w:hAnsi="Times New Roman"/>
          <w:sz w:val="20"/>
        </w:rPr>
        <w:t>We use the LangChain SQL agent pattern. The agent is initialized with the SQLite schema, a few-shot example bank, and a self-correction loop: if the generated query raises a SQL error, the error is fed back into the prompt for one retry. We evaluate against a hand-curated 50-question gold set spanning aggregate queries, joins, and filtered selections.</w:t>
      </w:r>
    </w:p>
    <w:p>
      <w:pPr>
        <w:spacing w:before="80" w:after="40"/>
        <w:jc w:val="left"/>
      </w:pPr>
      <w:r>
        <w:rPr>
          <w:rFonts w:ascii="Times New Roman" w:hAnsi="Times New Roman"/>
          <w:b/>
          <w:i/>
          <w:sz w:val="20"/>
        </w:rPr>
        <w:t>E. Implementation and Reproducibility</w:t>
      </w:r>
    </w:p>
    <w:p>
      <w:pPr>
        <w:spacing w:after="40"/>
        <w:ind w:firstLine="288"/>
        <w:jc w:val="both"/>
      </w:pPr>
      <w:r>
        <w:rPr>
          <w:rFonts w:ascii="Times New Roman" w:hAnsi="Times New Roman"/>
          <w:sz w:val="20"/>
        </w:rPr>
        <w:t>The system is implemented in Python 3.11 using scikit-learn [14], imbalanced-learn, LangChain [16], FAISS [8], and Streamlit. The full source, prompts, and evaluation harness are released under MIT license. The codebase was developed collaboratively with LLM coding assistants (GitHub Copilot, Claude 3.7, GPT-4); the use of AI assistants is explicitly documented in the project repository's AI_CONTRIBUTIONS.md, in line with emerging norms for reproducible AI-assisted research.</w:t>
      </w:r>
    </w:p>
    <w:p>
      <w:pPr>
        <w:spacing w:before="160" w:after="80"/>
        <w:jc w:val="center"/>
      </w:pPr>
      <w:r>
        <w:rPr>
          <w:rFonts w:ascii="Times New Roman" w:hAnsi="Times New Roman"/>
          <w:b/>
          <w:sz w:val="20"/>
        </w:rPr>
        <w:t>V. Evaluation</w:t>
      </w:r>
    </w:p>
    <w:p>
      <w:pPr>
        <w:spacing w:before="80" w:after="40"/>
        <w:jc w:val="left"/>
      </w:pPr>
      <w:r>
        <w:rPr>
          <w:rFonts w:ascii="Times New Roman" w:hAnsi="Times New Roman"/>
          <w:b/>
          <w:i/>
          <w:sz w:val="20"/>
        </w:rPr>
        <w:t>A. Predictive Performance</w:t>
      </w:r>
    </w:p>
    <w:p>
      <w:pPr>
        <w:spacing w:after="40"/>
        <w:ind w:firstLine="288"/>
        <w:jc w:val="both"/>
      </w:pPr>
      <w:r>
        <w:rPr>
          <w:rFonts w:ascii="Times New Roman" w:hAnsi="Times New Roman"/>
          <w:sz w:val="20"/>
        </w:rPr>
        <w:t>On a stratified 80/20 train/test split (Table I):</w:t>
      </w:r>
    </w:p>
    <w:tbl>
      <w:tblPr>
        <w:tblStyle w:val="LightGrid-Accent1"/>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rFonts w:ascii="Times New Roman" w:hAnsi="Times New Roman"/>
                <w:b/>
                <w:sz w:val="18"/>
              </w:rPr>
              <w:t>Bucket</w:t>
            </w:r>
          </w:p>
        </w:tc>
        <w:tc>
          <w:tcPr>
            <w:tcW w:type="dxa" w:w="2088"/>
          </w:tcPr>
          <w:p>
            <w:pPr>
              <w:jc w:val="center"/>
            </w:pPr>
            <w:r>
              <w:rPr>
                <w:rFonts w:ascii="Times New Roman" w:hAnsi="Times New Roman"/>
                <w:b/>
                <w:sz w:val="18"/>
              </w:rPr>
              <w:t>Precision</w:t>
            </w:r>
          </w:p>
        </w:tc>
        <w:tc>
          <w:tcPr>
            <w:tcW w:type="dxa" w:w="2088"/>
          </w:tcPr>
          <w:p>
            <w:pPr>
              <w:jc w:val="center"/>
            </w:pPr>
            <w:r>
              <w:rPr>
                <w:rFonts w:ascii="Times New Roman" w:hAnsi="Times New Roman"/>
                <w:b/>
                <w:sz w:val="18"/>
              </w:rPr>
              <w:t>Recall</w:t>
            </w:r>
          </w:p>
        </w:tc>
        <w:tc>
          <w:tcPr>
            <w:tcW w:type="dxa" w:w="2088"/>
          </w:tcPr>
          <w:p>
            <w:pPr>
              <w:jc w:val="center"/>
            </w:pPr>
            <w:r>
              <w:rPr>
                <w:rFonts w:ascii="Times New Roman" w:hAnsi="Times New Roman"/>
                <w:b/>
                <w:sz w:val="18"/>
              </w:rPr>
              <w:t>F1</w:t>
            </w:r>
          </w:p>
        </w:tc>
        <w:tc>
          <w:tcPr>
            <w:tcW w:type="dxa" w:w="2088"/>
          </w:tcPr>
          <w:p>
            <w:pPr>
              <w:jc w:val="center"/>
            </w:pPr>
            <w:r>
              <w:rPr>
                <w:rFonts w:ascii="Times New Roman" w:hAnsi="Times New Roman"/>
                <w:b/>
                <w:sz w:val="18"/>
              </w:rPr>
              <w:t>Support</w:t>
            </w:r>
          </w:p>
        </w:tc>
      </w:tr>
      <w:tr>
        <w:tc>
          <w:tcPr>
            <w:tcW w:type="dxa" w:w="2088"/>
          </w:tcPr>
          <w:p>
            <w:pPr>
              <w:jc w:val="center"/>
            </w:pPr>
            <w:r>
              <w:rPr>
                <w:rFonts w:ascii="Times New Roman" w:hAnsi="Times New Roman"/>
                <w:sz w:val="18"/>
              </w:rPr>
              <w:t>Low</w:t>
            </w:r>
          </w:p>
        </w:tc>
        <w:tc>
          <w:tcPr>
            <w:tcW w:type="dxa" w:w="2088"/>
          </w:tcPr>
          <w:p>
            <w:pPr>
              <w:jc w:val="center"/>
            </w:pPr>
            <w:r>
              <w:rPr>
                <w:rFonts w:ascii="Times New Roman" w:hAnsi="Times New Roman"/>
                <w:sz w:val="18"/>
              </w:rPr>
              <w:t>0.96</w:t>
            </w:r>
          </w:p>
        </w:tc>
        <w:tc>
          <w:tcPr>
            <w:tcW w:type="dxa" w:w="2088"/>
          </w:tcPr>
          <w:p>
            <w:pPr>
              <w:jc w:val="center"/>
            </w:pPr>
            <w:r>
              <w:rPr>
                <w:rFonts w:ascii="Times New Roman" w:hAnsi="Times New Roman"/>
                <w:sz w:val="18"/>
              </w:rPr>
              <w:t>0.98</w:t>
            </w:r>
          </w:p>
        </w:tc>
        <w:tc>
          <w:tcPr>
            <w:tcW w:type="dxa" w:w="2088"/>
          </w:tcPr>
          <w:p>
            <w:pPr>
              <w:jc w:val="center"/>
            </w:pPr>
            <w:r>
              <w:rPr>
                <w:rFonts w:ascii="Times New Roman" w:hAnsi="Times New Roman"/>
                <w:sz w:val="18"/>
              </w:rPr>
              <w:t>0.97</w:t>
            </w:r>
          </w:p>
        </w:tc>
        <w:tc>
          <w:tcPr>
            <w:tcW w:type="dxa" w:w="2088"/>
          </w:tcPr>
          <w:p>
            <w:pPr>
              <w:jc w:val="center"/>
            </w:pPr>
            <w:r>
              <w:rPr>
                <w:rFonts w:ascii="Times New Roman" w:hAnsi="Times New Roman"/>
                <w:sz w:val="18"/>
              </w:rPr>
              <w:t>870</w:t>
            </w:r>
          </w:p>
        </w:tc>
      </w:tr>
      <w:tr>
        <w:tc>
          <w:tcPr>
            <w:tcW w:type="dxa" w:w="2088"/>
          </w:tcPr>
          <w:p>
            <w:pPr>
              <w:jc w:val="center"/>
            </w:pPr>
            <w:r>
              <w:rPr>
                <w:rFonts w:ascii="Times New Roman" w:hAnsi="Times New Roman"/>
                <w:sz w:val="18"/>
              </w:rPr>
              <w:t>Medium</w:t>
            </w:r>
          </w:p>
        </w:tc>
        <w:tc>
          <w:tcPr>
            <w:tcW w:type="dxa" w:w="2088"/>
          </w:tcPr>
          <w:p>
            <w:pPr>
              <w:jc w:val="center"/>
            </w:pPr>
            <w:r>
              <w:rPr>
                <w:rFonts w:ascii="Times New Roman" w:hAnsi="Times New Roman"/>
                <w:sz w:val="18"/>
              </w:rPr>
              <w:t>0.71</w:t>
            </w:r>
          </w:p>
        </w:tc>
        <w:tc>
          <w:tcPr>
            <w:tcW w:type="dxa" w:w="2088"/>
          </w:tcPr>
          <w:p>
            <w:pPr>
              <w:jc w:val="center"/>
            </w:pPr>
            <w:r>
              <w:rPr>
                <w:rFonts w:ascii="Times New Roman" w:hAnsi="Times New Roman"/>
                <w:sz w:val="18"/>
              </w:rPr>
              <w:t>0.62</w:t>
            </w:r>
          </w:p>
        </w:tc>
        <w:tc>
          <w:tcPr>
            <w:tcW w:type="dxa" w:w="2088"/>
          </w:tcPr>
          <w:p>
            <w:pPr>
              <w:jc w:val="center"/>
            </w:pPr>
            <w:r>
              <w:rPr>
                <w:rFonts w:ascii="Times New Roman" w:hAnsi="Times New Roman"/>
                <w:sz w:val="18"/>
              </w:rPr>
              <w:t>0.66</w:t>
            </w:r>
          </w:p>
        </w:tc>
        <w:tc>
          <w:tcPr>
            <w:tcW w:type="dxa" w:w="2088"/>
          </w:tcPr>
          <w:p>
            <w:pPr>
              <w:jc w:val="center"/>
            </w:pPr>
            <w:r>
              <w:rPr>
                <w:rFonts w:ascii="Times New Roman" w:hAnsi="Times New Roman"/>
                <w:sz w:val="18"/>
              </w:rPr>
              <w:t>41</w:t>
            </w:r>
          </w:p>
        </w:tc>
      </w:tr>
      <w:tr>
        <w:tc>
          <w:tcPr>
            <w:tcW w:type="dxa" w:w="2088"/>
          </w:tcPr>
          <w:p>
            <w:pPr>
              <w:jc w:val="center"/>
            </w:pPr>
            <w:r>
              <w:rPr>
                <w:rFonts w:ascii="Times New Roman" w:hAnsi="Times New Roman"/>
                <w:sz w:val="18"/>
              </w:rPr>
              <w:t>High</w:t>
            </w:r>
          </w:p>
        </w:tc>
        <w:tc>
          <w:tcPr>
            <w:tcW w:type="dxa" w:w="2088"/>
          </w:tcPr>
          <w:p>
            <w:pPr>
              <w:jc w:val="center"/>
            </w:pPr>
            <w:r>
              <w:rPr>
                <w:rFonts w:ascii="Times New Roman" w:hAnsi="Times New Roman"/>
                <w:sz w:val="18"/>
              </w:rPr>
              <w:t>0.83</w:t>
            </w:r>
          </w:p>
        </w:tc>
        <w:tc>
          <w:tcPr>
            <w:tcW w:type="dxa" w:w="2088"/>
          </w:tcPr>
          <w:p>
            <w:pPr>
              <w:jc w:val="center"/>
            </w:pPr>
            <w:r>
              <w:rPr>
                <w:rFonts w:ascii="Times New Roman" w:hAnsi="Times New Roman"/>
                <w:sz w:val="18"/>
              </w:rPr>
              <w:t>0.78</w:t>
            </w:r>
          </w:p>
        </w:tc>
        <w:tc>
          <w:tcPr>
            <w:tcW w:type="dxa" w:w="2088"/>
          </w:tcPr>
          <w:p>
            <w:pPr>
              <w:jc w:val="center"/>
            </w:pPr>
            <w:r>
              <w:rPr>
                <w:rFonts w:ascii="Times New Roman" w:hAnsi="Times New Roman"/>
                <w:sz w:val="18"/>
              </w:rPr>
              <w:t>0.80</w:t>
            </w:r>
          </w:p>
        </w:tc>
        <w:tc>
          <w:tcPr>
            <w:tcW w:type="dxa" w:w="2088"/>
          </w:tcPr>
          <w:p>
            <w:pPr>
              <w:jc w:val="center"/>
            </w:pPr>
            <w:r>
              <w:rPr>
                <w:rFonts w:ascii="Times New Roman" w:hAnsi="Times New Roman"/>
                <w:sz w:val="18"/>
              </w:rPr>
              <w:t>89</w:t>
            </w:r>
          </w:p>
        </w:tc>
      </w:tr>
      <w:tr>
        <w:tc>
          <w:tcPr>
            <w:tcW w:type="dxa" w:w="2088"/>
          </w:tcPr>
          <w:p>
            <w:pPr>
              <w:jc w:val="center"/>
            </w:pPr>
            <w:r>
              <w:rPr>
                <w:rFonts w:ascii="Times New Roman" w:hAnsi="Times New Roman"/>
                <w:sz w:val="18"/>
              </w:rPr>
              <w:t>Macro</w:t>
            </w:r>
          </w:p>
        </w:tc>
        <w:tc>
          <w:tcPr>
            <w:tcW w:type="dxa" w:w="2088"/>
          </w:tcPr>
          <w:p>
            <w:pPr>
              <w:jc w:val="center"/>
            </w:pPr>
            <w:r>
              <w:rPr>
                <w:rFonts w:ascii="Times New Roman" w:hAnsi="Times New Roman"/>
                <w:sz w:val="18"/>
              </w:rPr>
              <w:t>0.83</w:t>
            </w:r>
          </w:p>
        </w:tc>
        <w:tc>
          <w:tcPr>
            <w:tcW w:type="dxa" w:w="2088"/>
          </w:tcPr>
          <w:p>
            <w:pPr>
              <w:jc w:val="center"/>
            </w:pPr>
            <w:r>
              <w:rPr>
                <w:rFonts w:ascii="Times New Roman" w:hAnsi="Times New Roman"/>
                <w:sz w:val="18"/>
              </w:rPr>
              <w:t>0.79</w:t>
            </w:r>
          </w:p>
        </w:tc>
        <w:tc>
          <w:tcPr>
            <w:tcW w:type="dxa" w:w="2088"/>
          </w:tcPr>
          <w:p>
            <w:pPr>
              <w:jc w:val="center"/>
            </w:pPr>
            <w:r>
              <w:rPr>
                <w:rFonts w:ascii="Times New Roman" w:hAnsi="Times New Roman"/>
                <w:sz w:val="18"/>
              </w:rPr>
              <w:t>0.81</w:t>
            </w:r>
          </w:p>
        </w:tc>
        <w:tc>
          <w:tcPr>
            <w:tcW w:type="dxa" w:w="2088"/>
          </w:tcPr>
          <w:p>
            <w:pPr>
              <w:jc w:val="center"/>
            </w:pPr>
            <w:r>
              <w:rPr>
                <w:rFonts w:ascii="Times New Roman" w:hAnsi="Times New Roman"/>
                <w:sz w:val="18"/>
              </w:rPr>
              <w:t>1,000</w:t>
            </w:r>
          </w:p>
        </w:tc>
      </w:tr>
    </w:tbl>
    <w:p>
      <w:pPr>
        <w:spacing w:after="160"/>
        <w:jc w:val="center"/>
      </w:pPr>
      <w:r>
        <w:rPr>
          <w:rFonts w:ascii="Times New Roman" w:hAnsi="Times New Roman"/>
          <w:i/>
          <w:sz w:val="18"/>
        </w:rPr>
        <w:t>TABLE I: Predictive Performance on Held-Out Test Set</w:t>
      </w:r>
    </w:p>
    <w:p>
      <w:pPr>
        <w:spacing w:after="40"/>
        <w:ind w:firstLine="288"/>
        <w:jc w:val="both"/>
      </w:pPr>
      <w:r>
        <w:rPr>
          <w:rFonts w:ascii="Times New Roman" w:hAnsi="Times New Roman"/>
          <w:sz w:val="20"/>
        </w:rPr>
        <w:t>ROC-AUC: 0.91. PR-AUC: 0.74. Brier score (calibration): 0.061. The PR-AUC is reported alongside ROC-AUC because PR is more sensitive to the imbalanced positive class.</w:t>
      </w:r>
    </w:p>
    <w:p>
      <w:pPr>
        <w:spacing w:before="80" w:after="40"/>
        <w:jc w:val="left"/>
      </w:pPr>
      <w:r>
        <w:rPr>
          <w:rFonts w:ascii="Times New Roman" w:hAnsi="Times New Roman"/>
          <w:b/>
          <w:i/>
          <w:sz w:val="20"/>
        </w:rPr>
        <w:t>B. NL2SQL Agent Accuracy</w:t>
      </w:r>
    </w:p>
    <w:p>
      <w:pPr>
        <w:spacing w:after="40"/>
        <w:ind w:firstLine="288"/>
        <w:jc w:val="both"/>
      </w:pPr>
      <w:r>
        <w:rPr>
          <w:rFonts w:ascii="Times New Roman" w:hAnsi="Times New Roman"/>
          <w:sz w:val="20"/>
        </w:rPr>
        <w:t>On the 50-question gold set, the agent achieves 86% exact-match SQL execution accuracy and 92% semantic-match (correct answer, syntactically different SQL).</w:t>
      </w:r>
    </w:p>
    <w:p>
      <w:pPr>
        <w:spacing w:before="80" w:after="40"/>
        <w:jc w:val="left"/>
      </w:pPr>
      <w:r>
        <w:rPr>
          <w:rFonts w:ascii="Times New Roman" w:hAnsi="Times New Roman"/>
          <w:b/>
          <w:i/>
          <w:sz w:val="20"/>
        </w:rPr>
        <w:t>C. End-to-End Latency</w:t>
      </w:r>
    </w:p>
    <w:p>
      <w:pPr>
        <w:spacing w:after="40"/>
        <w:ind w:firstLine="288"/>
        <w:jc w:val="both"/>
      </w:pPr>
      <w:r>
        <w:rPr>
          <w:rFonts w:ascii="Times New Roman" w:hAnsi="Times New Roman"/>
          <w:sz w:val="20"/>
        </w:rPr>
        <w:t>Median latency for a complete user query (NL2SQL → DB execution → LLM-formatted answer) is 11.7 seconds, versus a baseline of 2.3 days for analyst-mediated queries estimated from a small in-program survey.</w:t>
      </w:r>
    </w:p>
    <w:p>
      <w:pPr>
        <w:spacing w:before="80" w:after="40"/>
        <w:jc w:val="left"/>
      </w:pPr>
      <w:r>
        <w:rPr>
          <w:rFonts w:ascii="Times New Roman" w:hAnsi="Times New Roman"/>
          <w:b/>
          <w:i/>
          <w:sz w:val="20"/>
        </w:rPr>
        <w:t>D. Manager Trust Study (Pilot)</w:t>
      </w:r>
    </w:p>
    <w:p>
      <w:pPr>
        <w:spacing w:after="40"/>
        <w:ind w:firstLine="288"/>
        <w:jc w:val="both"/>
      </w:pPr>
      <w:r>
        <w:rPr>
          <w:rFonts w:ascii="Times New Roman" w:hAnsi="Times New Roman"/>
          <w:sz w:val="20"/>
        </w:rPr>
        <w:t>A pilot Likert-scale survey (n = 12, MSBA cohort) compared manager comfort acting on a black-box risk score versus a RAG-grounded explanation. Mean trust rose from 2.4/5 to 4.1/5 (p &lt; 0.01, Wilcoxon signed-rank). We position this as preliminary; a full IRB-approved study with HR practitioners is proposed as future work.</w:t>
      </w:r>
    </w:p>
    <w:p>
      <w:pPr>
        <w:spacing w:before="160" w:after="80"/>
        <w:jc w:val="center"/>
      </w:pPr>
      <w:r>
        <w:rPr>
          <w:rFonts w:ascii="Times New Roman" w:hAnsi="Times New Roman"/>
          <w:b/>
          <w:sz w:val="20"/>
        </w:rPr>
        <w:t>VI. Ethics, Fairness, and Limitations</w:t>
      </w:r>
    </w:p>
    <w:p>
      <w:pPr>
        <w:spacing w:before="80" w:after="40"/>
        <w:jc w:val="left"/>
      </w:pPr>
      <w:r>
        <w:rPr>
          <w:rFonts w:ascii="Times New Roman" w:hAnsi="Times New Roman"/>
          <w:b/>
          <w:i/>
          <w:sz w:val="20"/>
        </w:rPr>
        <w:t>A. Fairness Audit</w:t>
      </w:r>
    </w:p>
    <w:p>
      <w:pPr>
        <w:spacing w:after="40"/>
        <w:ind w:firstLine="288"/>
        <w:jc w:val="both"/>
      </w:pPr>
      <w:r>
        <w:rPr>
          <w:rFonts w:ascii="Times New Roman" w:hAnsi="Times New Roman"/>
          <w:sz w:val="20"/>
        </w:rPr>
        <w:t>We compute disparate-impact ratios across simulated gender and age-band groups using the fairlearn package; on the synthetic data, the High-bucket positive-prediction rate ratio between protected and reference groups is 0.94 (within the 0.80 "four-fifths rule" threshold). On real HR data, this audit must be re-run; the methodology, not the number, is the contribution.</w:t>
      </w:r>
    </w:p>
    <w:p>
      <w:pPr>
        <w:spacing w:before="80" w:after="40"/>
        <w:jc w:val="left"/>
      </w:pPr>
      <w:r>
        <w:rPr>
          <w:rFonts w:ascii="Times New Roman" w:hAnsi="Times New Roman"/>
          <w:b/>
          <w:i/>
          <w:sz w:val="20"/>
        </w:rPr>
        <w:t>B. Synthetic-Data Caveat</w:t>
      </w:r>
    </w:p>
    <w:p>
      <w:pPr>
        <w:spacing w:after="40"/>
        <w:ind w:firstLine="288"/>
        <w:jc w:val="both"/>
      </w:pPr>
      <w:r>
        <w:rPr>
          <w:rFonts w:ascii="Times New Roman" w:hAnsi="Times New Roman"/>
          <w:sz w:val="20"/>
        </w:rPr>
        <w:t>All performance numbers are reported on a synthetic corpus and may not transfer to real enterprise data without re-tuning. The synthetic generator was calibrated to public HR distributions but cannot replicate firm-specific cultural dynamics.</w:t>
      </w:r>
    </w:p>
    <w:p>
      <w:pPr>
        <w:spacing w:before="80" w:after="40"/>
        <w:jc w:val="left"/>
      </w:pPr>
      <w:r>
        <w:rPr>
          <w:rFonts w:ascii="Times New Roman" w:hAnsi="Times New Roman"/>
          <w:b/>
          <w:i/>
          <w:sz w:val="20"/>
        </w:rPr>
        <w:t>C. Surveillance and Worker Dignity</w:t>
      </w:r>
    </w:p>
    <w:p>
      <w:pPr>
        <w:spacing w:after="40"/>
        <w:ind w:firstLine="288"/>
        <w:jc w:val="both"/>
      </w:pPr>
      <w:r>
        <w:rPr>
          <w:rFonts w:ascii="Times New Roman" w:hAnsi="Times New Roman"/>
          <w:sz w:val="20"/>
        </w:rPr>
        <w:t>Predictive flight-risk systems carry real risk of being weaponized against workers (preemptive demotion, exclusion from key projects). We argue—and the open-source license enforces—that AttriSense outputs should be visible to the employee in question on request, and should never be used as the sole input to an adverse employment action.</w:t>
      </w:r>
    </w:p>
    <w:p>
      <w:pPr>
        <w:spacing w:before="80" w:after="40"/>
        <w:jc w:val="left"/>
      </w:pPr>
      <w:r>
        <w:rPr>
          <w:rFonts w:ascii="Times New Roman" w:hAnsi="Times New Roman"/>
          <w:b/>
          <w:i/>
          <w:sz w:val="20"/>
        </w:rPr>
        <w:t>D. Regulatory Alignment</w:t>
      </w:r>
    </w:p>
    <w:p>
      <w:pPr>
        <w:spacing w:after="40"/>
        <w:ind w:firstLine="288"/>
        <w:jc w:val="both"/>
      </w:pPr>
      <w:r>
        <w:rPr>
          <w:rFonts w:ascii="Times New Roman" w:hAnsi="Times New Roman"/>
          <w:sz w:val="20"/>
        </w:rPr>
        <w:t>The system architecture is designed to satisfy NYC Local Law 144 [13] bias-audit requirements and EU AI Act high-risk-system documentation expectations.</w:t>
      </w:r>
    </w:p>
    <w:p>
      <w:pPr>
        <w:spacing w:before="160" w:after="80"/>
        <w:jc w:val="center"/>
      </w:pPr>
      <w:r>
        <w:rPr>
          <w:rFonts w:ascii="Times New Roman" w:hAnsi="Times New Roman"/>
          <w:b/>
          <w:sz w:val="20"/>
        </w:rPr>
        <w:t>VII. Conclusion and Future Work</w:t>
      </w:r>
    </w:p>
    <w:p>
      <w:pPr>
        <w:spacing w:after="40"/>
        <w:ind w:firstLine="288"/>
        <w:jc w:val="both"/>
      </w:pPr>
      <w:r>
        <w:rPr>
          <w:rFonts w:ascii="Times New Roman" w:hAnsi="Times New Roman"/>
          <w:sz w:val="20"/>
        </w:rPr>
        <w:t>We have presented AttriSense, a unified open-source framework that combines imbalanced-classification flight-risk prediction, RAG-grounded qualitative explanation, and NL2SQL data-lake access into a single workflow consumable by non-technical HR users. On a 5,000-employee synthetic corpus, the system achieves ROC-AUC of 0.91 and reduces analyst-query latency by four orders of magnitude. Future work includes: (i) survival analysis with Cox proportional hazards for time-to-event prediction; (ii) causal-uplift modeling to recommend the intervention (raise, transfer, mentorship) that maximally reduces risk; (iii) federated learning across multi-site enterprises; and (iv) a full IRB-approved manager-trust field study at scale.</w:t>
      </w:r>
    </w:p>
    <w:p>
      <w:pPr>
        <w:spacing w:before="160" w:after="80"/>
        <w:jc w:val="center"/>
      </w:pPr>
      <w:r>
        <w:rPr>
          <w:rFonts w:ascii="Times New Roman" w:hAnsi="Times New Roman"/>
          <w:b/>
          <w:sz w:val="20"/>
        </w:rPr>
        <w:t>Acknowledgments</w:t>
      </w:r>
    </w:p>
    <w:p>
      <w:pPr>
        <w:spacing w:after="40"/>
        <w:ind w:firstLine="288"/>
        <w:jc w:val="both"/>
      </w:pPr>
      <w:r>
        <w:rPr>
          <w:rFonts w:ascii="Times New Roman" w:hAnsi="Times New Roman"/>
          <w:sz w:val="20"/>
        </w:rPr>
        <w:t>The author thanks the California State University, East Bay Master of Science in Business Analytics program for the academic foundation, and acknowledges the use of GitHub Copilot, Claude 3.7, and GPT-4 as coding collaborators throughout the implementation. All AI-assisted code was human-reviewed and is publicly auditable in the project repository.</w:t>
      </w:r>
    </w:p>
    <w:p>
      <w:pPr>
        <w:spacing w:before="160" w:after="80"/>
        <w:jc w:val="center"/>
      </w:pPr>
      <w:r>
        <w:rPr>
          <w:rFonts w:ascii="Times New Roman" w:hAnsi="Times New Roman"/>
          <w:b/>
          <w:sz w:val="20"/>
        </w:rPr>
        <w:t>Code and Data Availability</w:t>
      </w:r>
    </w:p>
    <w:p>
      <w:pPr>
        <w:spacing w:after="40"/>
        <w:ind w:firstLine="288"/>
        <w:jc w:val="both"/>
      </w:pPr>
      <w:r>
        <w:rPr>
          <w:rFonts w:ascii="Times New Roman" w:hAnsi="Times New Roman"/>
          <w:sz w:val="20"/>
        </w:rPr>
        <w:t>Source code, synthetic dataset generator, evaluation harness, and the Streamlit dashboard are publicly available under MIT license at https://github.com/Dogiparthi-Sharada/employee-flight-risk-ai-engine.</w:t>
      </w:r>
    </w:p>
    <w:p>
      <w:pPr>
        <w:spacing w:before="160" w:after="80"/>
        <w:jc w:val="center"/>
      </w:pPr>
      <w:r>
        <w:rPr>
          <w:rFonts w:ascii="Times New Roman" w:hAnsi="Times New Roman"/>
          <w:b/>
          <w:sz w:val="20"/>
        </w:rPr>
        <w:t>References</w:t>
      </w:r>
    </w:p>
    <w:p>
      <w:pPr>
        <w:spacing w:after="20"/>
        <w:ind w:left="259" w:hanging="259"/>
      </w:pPr>
      <w:r>
        <w:rPr>
          <w:rFonts w:ascii="Times New Roman" w:hAnsi="Times New Roman"/>
          <w:sz w:val="16"/>
        </w:rPr>
        <w:t>[1] J. Bersin, "The employee experience platform: A new category arrives," Deloitte Insights, 2017.</w:t>
      </w:r>
    </w:p>
    <w:p>
      <w:pPr>
        <w:spacing w:after="20"/>
        <w:ind w:left="259" w:hanging="259"/>
      </w:pPr>
      <w:r>
        <w:rPr>
          <w:rFonts w:ascii="Times New Roman" w:hAnsi="Times New Roman"/>
          <w:sz w:val="16"/>
        </w:rPr>
        <w:t>[2] IBM Watson Analytics, "HR Analytics Employee Attrition &amp; Performance," IBM, 2017.</w:t>
      </w:r>
    </w:p>
    <w:p>
      <w:pPr>
        <w:spacing w:after="20"/>
        <w:ind w:left="259" w:hanging="259"/>
      </w:pPr>
      <w:r>
        <w:rPr>
          <w:rFonts w:ascii="Times New Roman" w:hAnsi="Times New Roman"/>
          <w:sz w:val="16"/>
        </w:rPr>
        <w:t>[3] V. V. Saradhi and G. K. Palshikar, "Employee churn prediction," Expert Systems with Applications, vol. 38, no. 3, pp. 1999–2006, 2011.</w:t>
      </w:r>
    </w:p>
    <w:p>
      <w:pPr>
        <w:spacing w:after="20"/>
        <w:ind w:left="259" w:hanging="259"/>
      </w:pPr>
      <w:r>
        <w:rPr>
          <w:rFonts w:ascii="Times New Roman" w:hAnsi="Times New Roman"/>
          <w:sz w:val="16"/>
        </w:rPr>
        <w:t>[4] R. S. Sexton, S. McMurtrey, J. O. Michalopoulos, and A. M. Smith, "Employee turnover: A neural network solution," Computers &amp; Operations Research, vol. 32, no. 10, 2005.</w:t>
      </w:r>
    </w:p>
    <w:p>
      <w:pPr>
        <w:spacing w:after="20"/>
        <w:ind w:left="259" w:hanging="259"/>
      </w:pPr>
      <w:r>
        <w:rPr>
          <w:rFonts w:ascii="Times New Roman" w:hAnsi="Times New Roman"/>
          <w:sz w:val="16"/>
        </w:rPr>
        <w:t>[5] R. Yedida, R. Reddy, R. Vahi, R. Jana, A. GV, and D. Kulkarni, "Employee attrition prediction," arXiv:1806.10480, 2018.</w:t>
      </w:r>
    </w:p>
    <w:p>
      <w:pPr>
        <w:spacing w:after="20"/>
        <w:ind w:left="259" w:hanging="259"/>
      </w:pPr>
      <w:r>
        <w:rPr>
          <w:rFonts w:ascii="Times New Roman" w:hAnsi="Times New Roman"/>
          <w:sz w:val="16"/>
        </w:rPr>
        <w:t>[6] N. V. Chawla, K. W. Bowyer, L. O. Hall, and W. P. Kegelmeyer, "SMOTE: Synthetic minority over-sampling technique," JAIR, vol. 16, pp. 321–357, 2002.</w:t>
      </w:r>
    </w:p>
    <w:p>
      <w:pPr>
        <w:spacing w:after="20"/>
        <w:ind w:left="259" w:hanging="259"/>
      </w:pPr>
      <w:r>
        <w:rPr>
          <w:rFonts w:ascii="Times New Roman" w:hAnsi="Times New Roman"/>
          <w:sz w:val="16"/>
        </w:rPr>
        <w:t>[7] P. Lewis et al., "Retrieval-augmented generation for knowledge-intensive NLP tasks," NeurIPS, 2020.</w:t>
      </w:r>
    </w:p>
    <w:p>
      <w:pPr>
        <w:spacing w:after="20"/>
        <w:ind w:left="259" w:hanging="259"/>
      </w:pPr>
      <w:r>
        <w:rPr>
          <w:rFonts w:ascii="Times New Roman" w:hAnsi="Times New Roman"/>
          <w:sz w:val="16"/>
        </w:rPr>
        <w:t>[8] J. Johnson, M. Douze, and H. Jégou, "Billion-scale similarity search with GPUs," IEEE Trans. Big Data, vol. 7, no. 3, 2019.</w:t>
      </w:r>
    </w:p>
    <w:p>
      <w:pPr>
        <w:spacing w:after="20"/>
        <w:ind w:left="259" w:hanging="259"/>
      </w:pPr>
      <w:r>
        <w:rPr>
          <w:rFonts w:ascii="Times New Roman" w:hAnsi="Times New Roman"/>
          <w:sz w:val="16"/>
        </w:rPr>
        <w:t>[9] I. Androutsopoulos, G. Ritchie, and P. Thanisch, "Natural language interfaces to databases—An introduction," Natural Language Engineering, vol. 1, no. 1, 1995.</w:t>
      </w:r>
    </w:p>
    <w:p>
      <w:pPr>
        <w:spacing w:after="20"/>
        <w:ind w:left="259" w:hanging="259"/>
      </w:pPr>
      <w:r>
        <w:rPr>
          <w:rFonts w:ascii="Times New Roman" w:hAnsi="Times New Roman"/>
          <w:sz w:val="16"/>
        </w:rPr>
        <w:t>[10] N. Rajkumar, R. Li, and D. Bahdanau, "Evaluating the text-to-SQL capabilities of large language models," arXiv:2204.00498, 2022.</w:t>
      </w:r>
    </w:p>
    <w:p>
      <w:pPr>
        <w:spacing w:after="20"/>
        <w:ind w:left="259" w:hanging="259"/>
      </w:pPr>
      <w:r>
        <w:rPr>
          <w:rFonts w:ascii="Times New Roman" w:hAnsi="Times New Roman"/>
          <w:sz w:val="16"/>
        </w:rPr>
        <w:t>[11] M. Pourreza and D. Rafiei, "DIN-SQL: Decomposed in-context learning of text-to-SQL with self-correction," NeurIPS, 2023.</w:t>
      </w:r>
    </w:p>
    <w:p>
      <w:pPr>
        <w:spacing w:after="20"/>
        <w:ind w:left="259" w:hanging="259"/>
      </w:pPr>
      <w:r>
        <w:rPr>
          <w:rFonts w:ascii="Times New Roman" w:hAnsi="Times New Roman"/>
          <w:sz w:val="16"/>
        </w:rPr>
        <w:t>[12] S. M. Lundberg and S.-I. Lee, "A unified approach to interpreting model predictions," NeurIPS, 2017.</w:t>
      </w:r>
    </w:p>
    <w:p>
      <w:pPr>
        <w:spacing w:after="20"/>
        <w:ind w:left="259" w:hanging="259"/>
      </w:pPr>
      <w:r>
        <w:rPr>
          <w:rFonts w:ascii="Times New Roman" w:hAnsi="Times New Roman"/>
          <w:sz w:val="16"/>
        </w:rPr>
        <w:t>[13] New York City Local Law 144 of 2021, "Automated employment decision tools," effective July 2023.</w:t>
      </w:r>
    </w:p>
    <w:p>
      <w:pPr>
        <w:spacing w:after="20"/>
        <w:ind w:left="259" w:hanging="259"/>
      </w:pPr>
      <w:r>
        <w:rPr>
          <w:rFonts w:ascii="Times New Roman" w:hAnsi="Times New Roman"/>
          <w:sz w:val="16"/>
        </w:rPr>
        <w:t>[14] F. Pedregosa et al., "Scikit-learn: Machine learning in Python," JMLR, vol. 12, pp. 2825–2830, 2011.</w:t>
      </w:r>
    </w:p>
    <w:p>
      <w:pPr>
        <w:spacing w:after="20"/>
        <w:ind w:left="259" w:hanging="259"/>
      </w:pPr>
      <w:r>
        <w:rPr>
          <w:rFonts w:ascii="Times New Roman" w:hAnsi="Times New Roman"/>
          <w:sz w:val="16"/>
        </w:rPr>
        <w:t>[15] T. Brown et al., "Language models are few-shot learners," NeurIPS, 2020.</w:t>
      </w:r>
    </w:p>
    <w:p>
      <w:pPr>
        <w:spacing w:after="20"/>
        <w:ind w:left="259" w:hanging="259"/>
      </w:pPr>
      <w:r>
        <w:rPr>
          <w:rFonts w:ascii="Times New Roman" w:hAnsi="Times New Roman"/>
          <w:sz w:val="16"/>
        </w:rPr>
        <w:t>[16] H. Chase, "LangChain," GitHub, 2023, https://github.com/langchain-ai/langchain.</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