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7424" w14:textId="77777777" w:rsidR="006E487A" w:rsidRDefault="006E487A">
      <w:pPr>
        <w:spacing w:after="480"/>
        <w:jc w:val="center"/>
      </w:pPr>
    </w:p>
    <w:p w14:paraId="11C181CA" w14:textId="77777777" w:rsidR="006E487A" w:rsidRDefault="00BA6D23">
      <w:pPr>
        <w:spacing w:after="40"/>
        <w:jc w:val="center"/>
      </w:pPr>
      <w:r>
        <w:rPr>
          <w:b/>
          <w:color w:val="1A2B4A"/>
          <w:sz w:val="56"/>
        </w:rPr>
        <w:t>SITING ATLAS</w:t>
      </w:r>
    </w:p>
    <w:p w14:paraId="479CEDD6" w14:textId="77777777" w:rsidR="006E487A" w:rsidRDefault="00BA6D23">
      <w:pPr>
        <w:spacing w:after="360"/>
        <w:jc w:val="center"/>
      </w:pPr>
      <w:r>
        <w:rPr>
          <w:color w:val="4B5563"/>
          <w:sz w:val="26"/>
        </w:rPr>
        <w:t>Volume I  |  Last-Mile Delivery</w:t>
      </w:r>
    </w:p>
    <w:p w14:paraId="6A5D0135" w14:textId="77777777" w:rsidR="006E487A" w:rsidRDefault="00BA6D23">
      <w:pPr>
        <w:spacing w:after="160"/>
        <w:jc w:val="center"/>
      </w:pPr>
      <w:r>
        <w:rPr>
          <w:b/>
          <w:color w:val="1A2B4A"/>
          <w:sz w:val="36"/>
        </w:rPr>
        <w:t>Agent-Assisted Spatial Causal Inference for Sub-24-Hour Delivery Territory Expansion under Cannibalization Constraints</w:t>
      </w:r>
    </w:p>
    <w:p w14:paraId="0D043FA0" w14:textId="77777777" w:rsidR="006E487A" w:rsidRDefault="00BA6D23">
      <w:pPr>
        <w:spacing w:after="400"/>
        <w:jc w:val="center"/>
      </w:pPr>
      <w:r>
        <w:rPr>
          <w:color w:val="4B5563"/>
          <w:sz w:val="24"/>
        </w:rPr>
        <w:t>An open, reproducible model of where private infrastructure gets built — and who bears the consequences.</w:t>
      </w:r>
    </w:p>
    <w:p w14:paraId="770989C7" w14:textId="77777777" w:rsidR="006E487A" w:rsidRDefault="00BA6D23">
      <w:pPr>
        <w:spacing w:after="480"/>
        <w:jc w:val="center"/>
      </w:pPr>
      <w:r>
        <w:rPr>
          <w:b/>
          <w:color w:val="1A2B4A"/>
          <w:sz w:val="26"/>
        </w:rPr>
        <w:t>Applied Research Project Proposal</w:t>
      </w:r>
    </w:p>
    <w:p w14:paraId="43F7A163" w14:textId="77777777" w:rsidR="006E487A" w:rsidRDefault="00BA6D23">
      <w:pPr>
        <w:spacing w:after="40"/>
        <w:jc w:val="center"/>
      </w:pPr>
      <w:r>
        <w:rPr>
          <w:color w:val="1A2B4A"/>
          <w:sz w:val="24"/>
        </w:rPr>
        <w:t>P1: Sharada Dogiparthi</w:t>
      </w:r>
    </w:p>
    <w:p w14:paraId="0DF723D1" w14:textId="77777777" w:rsidR="006E487A" w:rsidRDefault="00BA6D23">
      <w:pPr>
        <w:spacing w:after="40"/>
        <w:jc w:val="center"/>
      </w:pPr>
      <w:r>
        <w:rPr>
          <w:color w:val="1A2B4A"/>
          <w:sz w:val="24"/>
        </w:rPr>
        <w:t>P2: Srilekha Budithi</w:t>
      </w:r>
    </w:p>
    <w:p w14:paraId="5D25BC07" w14:textId="77777777" w:rsidR="006E487A" w:rsidRDefault="00BA6D23">
      <w:pPr>
        <w:spacing w:after="40"/>
        <w:jc w:val="center"/>
      </w:pPr>
      <w:r>
        <w:rPr>
          <w:color w:val="1A2B4A"/>
          <w:sz w:val="24"/>
        </w:rPr>
        <w:t>P3: Rakshitha Venigalla</w:t>
      </w:r>
    </w:p>
    <w:p w14:paraId="0BAB2DBD" w14:textId="77777777" w:rsidR="006E487A" w:rsidRDefault="006E487A">
      <w:pPr>
        <w:spacing w:after="120"/>
        <w:jc w:val="center"/>
      </w:pPr>
    </w:p>
    <w:p w14:paraId="4106734B" w14:textId="77777777" w:rsidR="006E487A" w:rsidRDefault="00BA6D23">
      <w:pPr>
        <w:spacing w:after="40"/>
        <w:jc w:val="center"/>
      </w:pPr>
      <w:r>
        <w:rPr>
          <w:color w:val="1A2B4A"/>
          <w:sz w:val="24"/>
        </w:rPr>
        <w:t>Master of Science in Business Analytics</w:t>
      </w:r>
    </w:p>
    <w:p w14:paraId="2F81D099" w14:textId="77777777" w:rsidR="006E487A" w:rsidRDefault="00BA6D23">
      <w:pPr>
        <w:spacing w:after="280"/>
        <w:jc w:val="center"/>
      </w:pPr>
      <w:r>
        <w:rPr>
          <w:color w:val="1A2B4A"/>
          <w:sz w:val="24"/>
        </w:rPr>
        <w:t>California State University, East Bay</w:t>
      </w:r>
    </w:p>
    <w:p w14:paraId="222C5AF2" w14:textId="77777777" w:rsidR="006E487A" w:rsidRDefault="00BA6D23">
      <w:pPr>
        <w:spacing w:after="40"/>
        <w:jc w:val="center"/>
      </w:pPr>
      <w:r>
        <w:rPr>
          <w:color w:val="4B5563"/>
        </w:rPr>
        <w:t>Course Instructor: Surendra Sarnikar, Ph.D.</w:t>
      </w:r>
    </w:p>
    <w:p w14:paraId="1AA9B5D5" w14:textId="77777777" w:rsidR="006E487A" w:rsidRDefault="00BA6D23">
      <w:pPr>
        <w:spacing w:after="480"/>
        <w:jc w:val="center"/>
      </w:pPr>
      <w:r>
        <w:rPr>
          <w:color w:val="4B5563"/>
        </w:rPr>
        <w:t>September 2026</w:t>
      </w:r>
    </w:p>
    <w:p w14:paraId="7BB15D87" w14:textId="77777777" w:rsidR="006E487A" w:rsidRDefault="00BA6D23">
      <w:pPr>
        <w:spacing w:after="120"/>
        <w:jc w:val="center"/>
      </w:pPr>
      <w:r>
        <w:rPr>
          <w:i/>
          <w:color w:val="4B5563"/>
          <w:sz w:val="18"/>
        </w:rPr>
        <w:t>Not affiliated with, endorsed by, or sponsored by Amazon.com, Inc., Walmart Inc., Costco Wholesale Corporation, Target Corporation, DoorDash Inc., Maplebear Inc. (Instacart), or any of their subsidiaries. Company names appearing in this proposal are used descriptively for research and educational purposes only under nominative fair use. Predictions are derived from publicly available data and statistical modelling only; no proprietary, confidential, or non-public information from any operator is used.</w:t>
      </w:r>
    </w:p>
    <w:p w14:paraId="5E5E0A3D" w14:textId="77777777" w:rsidR="009A0C66" w:rsidRDefault="00BA6D23" w:rsidP="00211C30">
      <w:pPr>
        <w:pageBreakBefore/>
      </w:pPr>
      <w:bookmarkStart w:id="0" w:name="toc_main"/>
      <w:r>
        <w:rPr>
          <w:b/>
          <w:color w:val="1A2B4A"/>
          <w:sz w:val="44"/>
        </w:rPr>
        <w:t>Table of Contents</w:t>
      </w:r>
      <w:bookmarkEnd w:id="0"/>
    </w:p>
    <w:p w14:paraId="58BBAC49" w14:textId="77777777" w:rsidR="006E487A" w:rsidRDefault="00BA6D23">
      <w:pPr>
        <w:tabs>
          <w:tab w:val="right" w:pos="9280"/>
        </w:tabs>
        <w:spacing w:after="40"/>
      </w:pPr>
      <w:r>
        <w:rPr>
          <w:b/>
          <w:color w:val="6B7280"/>
        </w:rPr>
        <w:t>Section</w:t>
      </w:r>
      <w:r>
        <w:rPr>
          <w:b/>
          <w:color w:val="6B7280"/>
        </w:rPr>
        <w:tab/>
        <w:t>Page</w:t>
      </w:r>
    </w:p>
    <w:p w14:paraId="2AF863D0" w14:textId="664430A9" w:rsidR="00F56855" w:rsidRDefault="00BA6D23">
      <w:pPr>
        <w:pStyle w:val="TOC1"/>
        <w:rPr>
          <w:rFonts w:asciiTheme="minorHAnsi" w:hAnsiTheme="minorHAnsi" w:cstheme="minorBidi"/>
          <w:b w:val="0"/>
          <w:bCs w:val="0"/>
          <w:noProof/>
          <w:color w:val="auto"/>
          <w:kern w:val="2"/>
          <w:sz w:val="24"/>
          <w:szCs w:val="24"/>
          <w14:ligatures w14:val="standardContextual"/>
        </w:rPr>
      </w:pPr>
      <w:r>
        <w:fldChar w:fldCharType="begin"/>
      </w:r>
      <w:r>
        <w:instrText>TOC \o "1-2" \h \z \u</w:instrText>
      </w:r>
      <w:r>
        <w:fldChar w:fldCharType="separate"/>
      </w:r>
      <w:hyperlink w:anchor="_Toc239881107" w:history="1">
        <w:r w:rsidR="00F56855" w:rsidRPr="000E4538">
          <w:rPr>
            <w:rStyle w:val="Hyperlink"/>
            <w:noProof/>
          </w:rPr>
          <w:t>Executive Summary</w:t>
        </w:r>
        <w:r w:rsidR="00F56855">
          <w:rPr>
            <w:noProof/>
            <w:webHidden/>
          </w:rPr>
          <w:tab/>
        </w:r>
        <w:r w:rsidR="00F56855">
          <w:rPr>
            <w:noProof/>
            <w:webHidden/>
          </w:rPr>
          <w:fldChar w:fldCharType="begin"/>
        </w:r>
        <w:r w:rsidR="00F56855">
          <w:rPr>
            <w:noProof/>
            <w:webHidden/>
          </w:rPr>
          <w:instrText xml:space="preserve"> PAGEREF _Toc239881107 \h </w:instrText>
        </w:r>
        <w:r w:rsidR="00F56855">
          <w:rPr>
            <w:noProof/>
            <w:webHidden/>
          </w:rPr>
        </w:r>
        <w:r w:rsidR="00F56855">
          <w:rPr>
            <w:noProof/>
            <w:webHidden/>
          </w:rPr>
          <w:fldChar w:fldCharType="separate"/>
        </w:r>
        <w:r w:rsidR="00F56855">
          <w:rPr>
            <w:noProof/>
            <w:webHidden/>
          </w:rPr>
          <w:t>4</w:t>
        </w:r>
        <w:r w:rsidR="00F56855">
          <w:rPr>
            <w:noProof/>
            <w:webHidden/>
          </w:rPr>
          <w:fldChar w:fldCharType="end"/>
        </w:r>
      </w:hyperlink>
    </w:p>
    <w:p w14:paraId="1619F1EA" w14:textId="1698CD17"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08" w:history="1">
        <w:r w:rsidRPr="000E4538">
          <w:rPr>
            <w:rStyle w:val="Hyperlink"/>
            <w:noProof/>
          </w:rPr>
          <w:t>1.  Introduction</w:t>
        </w:r>
        <w:r>
          <w:rPr>
            <w:noProof/>
            <w:webHidden/>
          </w:rPr>
          <w:tab/>
        </w:r>
        <w:r>
          <w:rPr>
            <w:noProof/>
            <w:webHidden/>
          </w:rPr>
          <w:fldChar w:fldCharType="begin"/>
        </w:r>
        <w:r>
          <w:rPr>
            <w:noProof/>
            <w:webHidden/>
          </w:rPr>
          <w:instrText xml:space="preserve"> PAGEREF _Toc239881108 \h </w:instrText>
        </w:r>
        <w:r>
          <w:rPr>
            <w:noProof/>
            <w:webHidden/>
          </w:rPr>
        </w:r>
        <w:r>
          <w:rPr>
            <w:noProof/>
            <w:webHidden/>
          </w:rPr>
          <w:fldChar w:fldCharType="separate"/>
        </w:r>
        <w:r>
          <w:rPr>
            <w:noProof/>
            <w:webHidden/>
          </w:rPr>
          <w:t>5</w:t>
        </w:r>
        <w:r>
          <w:rPr>
            <w:noProof/>
            <w:webHidden/>
          </w:rPr>
          <w:fldChar w:fldCharType="end"/>
        </w:r>
      </w:hyperlink>
    </w:p>
    <w:p w14:paraId="7C625F31" w14:textId="58EDBF9D" w:rsidR="00F56855" w:rsidRDefault="00F56855">
      <w:pPr>
        <w:pStyle w:val="TOC2"/>
        <w:rPr>
          <w:rFonts w:asciiTheme="minorHAnsi" w:hAnsiTheme="minorHAnsi" w:cstheme="minorBidi"/>
          <w:noProof/>
          <w:color w:val="auto"/>
          <w:kern w:val="2"/>
          <w:sz w:val="24"/>
          <w:szCs w:val="24"/>
          <w14:ligatures w14:val="standardContextual"/>
        </w:rPr>
      </w:pPr>
      <w:hyperlink w:anchor="_Toc239881109" w:history="1">
        <w:r w:rsidRPr="000E4538">
          <w:rPr>
            <w:rStyle w:val="Hyperlink"/>
            <w:noProof/>
          </w:rPr>
          <w:t>1.1  The last-mile paradigm shift</w:t>
        </w:r>
        <w:r>
          <w:rPr>
            <w:noProof/>
            <w:webHidden/>
          </w:rPr>
          <w:tab/>
        </w:r>
        <w:r>
          <w:rPr>
            <w:noProof/>
            <w:webHidden/>
          </w:rPr>
          <w:fldChar w:fldCharType="begin"/>
        </w:r>
        <w:r>
          <w:rPr>
            <w:noProof/>
            <w:webHidden/>
          </w:rPr>
          <w:instrText xml:space="preserve"> PAGEREF _Toc239881109 \h </w:instrText>
        </w:r>
        <w:r>
          <w:rPr>
            <w:noProof/>
            <w:webHidden/>
          </w:rPr>
        </w:r>
        <w:r>
          <w:rPr>
            <w:noProof/>
            <w:webHidden/>
          </w:rPr>
          <w:fldChar w:fldCharType="separate"/>
        </w:r>
        <w:r>
          <w:rPr>
            <w:noProof/>
            <w:webHidden/>
          </w:rPr>
          <w:t>5</w:t>
        </w:r>
        <w:r>
          <w:rPr>
            <w:noProof/>
            <w:webHidden/>
          </w:rPr>
          <w:fldChar w:fldCharType="end"/>
        </w:r>
      </w:hyperlink>
    </w:p>
    <w:p w14:paraId="64EADC0D" w14:textId="3A839552" w:rsidR="00F56855" w:rsidRDefault="00F56855">
      <w:pPr>
        <w:pStyle w:val="TOC2"/>
        <w:rPr>
          <w:rFonts w:asciiTheme="minorHAnsi" w:hAnsiTheme="minorHAnsi" w:cstheme="minorBidi"/>
          <w:noProof/>
          <w:color w:val="auto"/>
          <w:kern w:val="2"/>
          <w:sz w:val="24"/>
          <w:szCs w:val="24"/>
          <w14:ligatures w14:val="standardContextual"/>
        </w:rPr>
      </w:pPr>
      <w:hyperlink w:anchor="_Toc239881110" w:history="1">
        <w:r w:rsidRPr="000E4538">
          <w:rPr>
            <w:rStyle w:val="Hyperlink"/>
            <w:noProof/>
          </w:rPr>
          <w:t>1.2  The analytical problem</w:t>
        </w:r>
        <w:r>
          <w:rPr>
            <w:noProof/>
            <w:webHidden/>
          </w:rPr>
          <w:tab/>
        </w:r>
        <w:r>
          <w:rPr>
            <w:noProof/>
            <w:webHidden/>
          </w:rPr>
          <w:fldChar w:fldCharType="begin"/>
        </w:r>
        <w:r>
          <w:rPr>
            <w:noProof/>
            <w:webHidden/>
          </w:rPr>
          <w:instrText xml:space="preserve"> PAGEREF _Toc239881110 \h </w:instrText>
        </w:r>
        <w:r>
          <w:rPr>
            <w:noProof/>
            <w:webHidden/>
          </w:rPr>
        </w:r>
        <w:r>
          <w:rPr>
            <w:noProof/>
            <w:webHidden/>
          </w:rPr>
          <w:fldChar w:fldCharType="separate"/>
        </w:r>
        <w:r>
          <w:rPr>
            <w:noProof/>
            <w:webHidden/>
          </w:rPr>
          <w:t>5</w:t>
        </w:r>
        <w:r>
          <w:rPr>
            <w:noProof/>
            <w:webHidden/>
          </w:rPr>
          <w:fldChar w:fldCharType="end"/>
        </w:r>
      </w:hyperlink>
    </w:p>
    <w:p w14:paraId="2108C54D" w14:textId="6CCD088F" w:rsidR="00F56855" w:rsidRDefault="00F56855">
      <w:pPr>
        <w:pStyle w:val="TOC2"/>
        <w:rPr>
          <w:rFonts w:asciiTheme="minorHAnsi" w:hAnsiTheme="minorHAnsi" w:cstheme="minorBidi"/>
          <w:noProof/>
          <w:color w:val="auto"/>
          <w:kern w:val="2"/>
          <w:sz w:val="24"/>
          <w:szCs w:val="24"/>
          <w14:ligatures w14:val="standardContextual"/>
        </w:rPr>
      </w:pPr>
      <w:hyperlink w:anchor="_Toc239881111" w:history="1">
        <w:r w:rsidRPr="000E4538">
          <w:rPr>
            <w:rStyle w:val="Hyperlink"/>
            <w:noProof/>
          </w:rPr>
          <w:t>1.3  Why this matters now, and to whom</w:t>
        </w:r>
        <w:r>
          <w:rPr>
            <w:noProof/>
            <w:webHidden/>
          </w:rPr>
          <w:tab/>
        </w:r>
        <w:r>
          <w:rPr>
            <w:noProof/>
            <w:webHidden/>
          </w:rPr>
          <w:fldChar w:fldCharType="begin"/>
        </w:r>
        <w:r>
          <w:rPr>
            <w:noProof/>
            <w:webHidden/>
          </w:rPr>
          <w:instrText xml:space="preserve"> PAGEREF _Toc239881111 \h </w:instrText>
        </w:r>
        <w:r>
          <w:rPr>
            <w:noProof/>
            <w:webHidden/>
          </w:rPr>
        </w:r>
        <w:r>
          <w:rPr>
            <w:noProof/>
            <w:webHidden/>
          </w:rPr>
          <w:fldChar w:fldCharType="separate"/>
        </w:r>
        <w:r>
          <w:rPr>
            <w:noProof/>
            <w:webHidden/>
          </w:rPr>
          <w:t>5</w:t>
        </w:r>
        <w:r>
          <w:rPr>
            <w:noProof/>
            <w:webHidden/>
          </w:rPr>
          <w:fldChar w:fldCharType="end"/>
        </w:r>
      </w:hyperlink>
    </w:p>
    <w:p w14:paraId="6885E7FF" w14:textId="544804E2" w:rsidR="00F56855" w:rsidRDefault="00F56855">
      <w:pPr>
        <w:pStyle w:val="TOC2"/>
        <w:rPr>
          <w:rFonts w:asciiTheme="minorHAnsi" w:hAnsiTheme="minorHAnsi" w:cstheme="minorBidi"/>
          <w:noProof/>
          <w:color w:val="auto"/>
          <w:kern w:val="2"/>
          <w:sz w:val="24"/>
          <w:szCs w:val="24"/>
          <w14:ligatures w14:val="standardContextual"/>
        </w:rPr>
      </w:pPr>
      <w:hyperlink w:anchor="_Toc239881112" w:history="1">
        <w:r w:rsidRPr="000E4538">
          <w:rPr>
            <w:rStyle w:val="Hyperlink"/>
            <w:noProof/>
          </w:rPr>
          <w:t>1.4  Research questions</w:t>
        </w:r>
        <w:r>
          <w:rPr>
            <w:noProof/>
            <w:webHidden/>
          </w:rPr>
          <w:tab/>
        </w:r>
        <w:r>
          <w:rPr>
            <w:noProof/>
            <w:webHidden/>
          </w:rPr>
          <w:fldChar w:fldCharType="begin"/>
        </w:r>
        <w:r>
          <w:rPr>
            <w:noProof/>
            <w:webHidden/>
          </w:rPr>
          <w:instrText xml:space="preserve"> PAGEREF _Toc239881112 \h </w:instrText>
        </w:r>
        <w:r>
          <w:rPr>
            <w:noProof/>
            <w:webHidden/>
          </w:rPr>
        </w:r>
        <w:r>
          <w:rPr>
            <w:noProof/>
            <w:webHidden/>
          </w:rPr>
          <w:fldChar w:fldCharType="separate"/>
        </w:r>
        <w:r>
          <w:rPr>
            <w:noProof/>
            <w:webHidden/>
          </w:rPr>
          <w:t>6</w:t>
        </w:r>
        <w:r>
          <w:rPr>
            <w:noProof/>
            <w:webHidden/>
          </w:rPr>
          <w:fldChar w:fldCharType="end"/>
        </w:r>
      </w:hyperlink>
    </w:p>
    <w:p w14:paraId="74221759" w14:textId="3F289ED5"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13" w:history="1">
        <w:r w:rsidRPr="000E4538">
          <w:rPr>
            <w:rStyle w:val="Hyperlink"/>
            <w:noProof/>
          </w:rPr>
          <w:t>2.  Related Work</w:t>
        </w:r>
        <w:r>
          <w:rPr>
            <w:noProof/>
            <w:webHidden/>
          </w:rPr>
          <w:tab/>
        </w:r>
        <w:r>
          <w:rPr>
            <w:noProof/>
            <w:webHidden/>
          </w:rPr>
          <w:fldChar w:fldCharType="begin"/>
        </w:r>
        <w:r>
          <w:rPr>
            <w:noProof/>
            <w:webHidden/>
          </w:rPr>
          <w:instrText xml:space="preserve"> PAGEREF _Toc239881113 \h </w:instrText>
        </w:r>
        <w:r>
          <w:rPr>
            <w:noProof/>
            <w:webHidden/>
          </w:rPr>
        </w:r>
        <w:r>
          <w:rPr>
            <w:noProof/>
            <w:webHidden/>
          </w:rPr>
          <w:fldChar w:fldCharType="separate"/>
        </w:r>
        <w:r>
          <w:rPr>
            <w:noProof/>
            <w:webHidden/>
          </w:rPr>
          <w:t>8</w:t>
        </w:r>
        <w:r>
          <w:rPr>
            <w:noProof/>
            <w:webHidden/>
          </w:rPr>
          <w:fldChar w:fldCharType="end"/>
        </w:r>
      </w:hyperlink>
    </w:p>
    <w:p w14:paraId="5AE698E2" w14:textId="164EA770" w:rsidR="00F56855" w:rsidRDefault="00F56855">
      <w:pPr>
        <w:pStyle w:val="TOC2"/>
        <w:rPr>
          <w:rFonts w:asciiTheme="minorHAnsi" w:hAnsiTheme="minorHAnsi" w:cstheme="minorBidi"/>
          <w:noProof/>
          <w:color w:val="auto"/>
          <w:kern w:val="2"/>
          <w:sz w:val="24"/>
          <w:szCs w:val="24"/>
          <w14:ligatures w14:val="standardContextual"/>
        </w:rPr>
      </w:pPr>
      <w:hyperlink w:anchor="_Toc239881114" w:history="1">
        <w:r w:rsidRPr="000E4538">
          <w:rPr>
            <w:rStyle w:val="Hyperlink"/>
            <w:noProof/>
          </w:rPr>
          <w:t>2.1  Spatial causal inference and interference</w:t>
        </w:r>
        <w:r>
          <w:rPr>
            <w:noProof/>
            <w:webHidden/>
          </w:rPr>
          <w:tab/>
        </w:r>
        <w:r>
          <w:rPr>
            <w:noProof/>
            <w:webHidden/>
          </w:rPr>
          <w:fldChar w:fldCharType="begin"/>
        </w:r>
        <w:r>
          <w:rPr>
            <w:noProof/>
            <w:webHidden/>
          </w:rPr>
          <w:instrText xml:space="preserve"> PAGEREF _Toc239881114 \h </w:instrText>
        </w:r>
        <w:r>
          <w:rPr>
            <w:noProof/>
            <w:webHidden/>
          </w:rPr>
        </w:r>
        <w:r>
          <w:rPr>
            <w:noProof/>
            <w:webHidden/>
          </w:rPr>
          <w:fldChar w:fldCharType="separate"/>
        </w:r>
        <w:r>
          <w:rPr>
            <w:noProof/>
            <w:webHidden/>
          </w:rPr>
          <w:t>8</w:t>
        </w:r>
        <w:r>
          <w:rPr>
            <w:noProof/>
            <w:webHidden/>
          </w:rPr>
          <w:fldChar w:fldCharType="end"/>
        </w:r>
      </w:hyperlink>
    </w:p>
    <w:p w14:paraId="5B83F123" w14:textId="0750B8FD" w:rsidR="00F56855" w:rsidRDefault="00F56855">
      <w:pPr>
        <w:pStyle w:val="TOC2"/>
        <w:rPr>
          <w:rFonts w:asciiTheme="minorHAnsi" w:hAnsiTheme="minorHAnsi" w:cstheme="minorBidi"/>
          <w:noProof/>
          <w:color w:val="auto"/>
          <w:kern w:val="2"/>
          <w:sz w:val="24"/>
          <w:szCs w:val="24"/>
          <w14:ligatures w14:val="standardContextual"/>
        </w:rPr>
      </w:pPr>
      <w:hyperlink w:anchor="_Toc239881115" w:history="1">
        <w:r w:rsidRPr="000E4538">
          <w:rPr>
            <w:rStyle w:val="Hyperlink"/>
            <w:noProof/>
          </w:rPr>
          <w:t>2.2  Estimating the spatial weight matrix</w:t>
        </w:r>
        <w:r>
          <w:rPr>
            <w:noProof/>
            <w:webHidden/>
          </w:rPr>
          <w:tab/>
        </w:r>
        <w:r>
          <w:rPr>
            <w:noProof/>
            <w:webHidden/>
          </w:rPr>
          <w:fldChar w:fldCharType="begin"/>
        </w:r>
        <w:r>
          <w:rPr>
            <w:noProof/>
            <w:webHidden/>
          </w:rPr>
          <w:instrText xml:space="preserve"> PAGEREF _Toc239881115 \h </w:instrText>
        </w:r>
        <w:r>
          <w:rPr>
            <w:noProof/>
            <w:webHidden/>
          </w:rPr>
        </w:r>
        <w:r>
          <w:rPr>
            <w:noProof/>
            <w:webHidden/>
          </w:rPr>
          <w:fldChar w:fldCharType="separate"/>
        </w:r>
        <w:r>
          <w:rPr>
            <w:noProof/>
            <w:webHidden/>
          </w:rPr>
          <w:t>9</w:t>
        </w:r>
        <w:r>
          <w:rPr>
            <w:noProof/>
            <w:webHidden/>
          </w:rPr>
          <w:fldChar w:fldCharType="end"/>
        </w:r>
      </w:hyperlink>
    </w:p>
    <w:p w14:paraId="6FC6C027" w14:textId="1DFC8907" w:rsidR="00F56855" w:rsidRDefault="00F56855">
      <w:pPr>
        <w:pStyle w:val="TOC2"/>
        <w:rPr>
          <w:rFonts w:asciiTheme="minorHAnsi" w:hAnsiTheme="minorHAnsi" w:cstheme="minorBidi"/>
          <w:noProof/>
          <w:color w:val="auto"/>
          <w:kern w:val="2"/>
          <w:sz w:val="24"/>
          <w:szCs w:val="24"/>
          <w14:ligatures w14:val="standardContextual"/>
        </w:rPr>
      </w:pPr>
      <w:hyperlink w:anchor="_Toc239881116" w:history="1">
        <w:r w:rsidRPr="000E4538">
          <w:rPr>
            <w:rStyle w:val="Hyperlink"/>
            <w:noProof/>
          </w:rPr>
          <w:t>2.3  Routing and density economics</w:t>
        </w:r>
        <w:r>
          <w:rPr>
            <w:noProof/>
            <w:webHidden/>
          </w:rPr>
          <w:tab/>
        </w:r>
        <w:r>
          <w:rPr>
            <w:noProof/>
            <w:webHidden/>
          </w:rPr>
          <w:fldChar w:fldCharType="begin"/>
        </w:r>
        <w:r>
          <w:rPr>
            <w:noProof/>
            <w:webHidden/>
          </w:rPr>
          <w:instrText xml:space="preserve"> PAGEREF _Toc239881116 \h </w:instrText>
        </w:r>
        <w:r>
          <w:rPr>
            <w:noProof/>
            <w:webHidden/>
          </w:rPr>
        </w:r>
        <w:r>
          <w:rPr>
            <w:noProof/>
            <w:webHidden/>
          </w:rPr>
          <w:fldChar w:fldCharType="separate"/>
        </w:r>
        <w:r>
          <w:rPr>
            <w:noProof/>
            <w:webHidden/>
          </w:rPr>
          <w:t>9</w:t>
        </w:r>
        <w:r>
          <w:rPr>
            <w:noProof/>
            <w:webHidden/>
          </w:rPr>
          <w:fldChar w:fldCharType="end"/>
        </w:r>
      </w:hyperlink>
    </w:p>
    <w:p w14:paraId="36C67C59" w14:textId="2EC1EDED" w:rsidR="00F56855" w:rsidRDefault="00F56855">
      <w:pPr>
        <w:pStyle w:val="TOC2"/>
        <w:rPr>
          <w:rFonts w:asciiTheme="minorHAnsi" w:hAnsiTheme="minorHAnsi" w:cstheme="minorBidi"/>
          <w:noProof/>
          <w:color w:val="auto"/>
          <w:kern w:val="2"/>
          <w:sz w:val="24"/>
          <w:szCs w:val="24"/>
          <w14:ligatures w14:val="standardContextual"/>
        </w:rPr>
      </w:pPr>
      <w:hyperlink w:anchor="_Toc239881117" w:history="1">
        <w:r w:rsidRPr="000E4538">
          <w:rPr>
            <w:rStyle w:val="Hyperlink"/>
            <w:noProof/>
          </w:rPr>
          <w:t>2.4  Retail expansion and cannibalization</w:t>
        </w:r>
        <w:r>
          <w:rPr>
            <w:noProof/>
            <w:webHidden/>
          </w:rPr>
          <w:tab/>
        </w:r>
        <w:r>
          <w:rPr>
            <w:noProof/>
            <w:webHidden/>
          </w:rPr>
          <w:fldChar w:fldCharType="begin"/>
        </w:r>
        <w:r>
          <w:rPr>
            <w:noProof/>
            <w:webHidden/>
          </w:rPr>
          <w:instrText xml:space="preserve"> PAGEREF _Toc239881117 \h </w:instrText>
        </w:r>
        <w:r>
          <w:rPr>
            <w:noProof/>
            <w:webHidden/>
          </w:rPr>
        </w:r>
        <w:r>
          <w:rPr>
            <w:noProof/>
            <w:webHidden/>
          </w:rPr>
          <w:fldChar w:fldCharType="separate"/>
        </w:r>
        <w:r>
          <w:rPr>
            <w:noProof/>
            <w:webHidden/>
          </w:rPr>
          <w:t>9</w:t>
        </w:r>
        <w:r>
          <w:rPr>
            <w:noProof/>
            <w:webHidden/>
          </w:rPr>
          <w:fldChar w:fldCharType="end"/>
        </w:r>
      </w:hyperlink>
    </w:p>
    <w:p w14:paraId="779D36A0" w14:textId="5E486CCF" w:rsidR="00F56855" w:rsidRDefault="00F56855">
      <w:pPr>
        <w:pStyle w:val="TOC2"/>
        <w:rPr>
          <w:rFonts w:asciiTheme="minorHAnsi" w:hAnsiTheme="minorHAnsi" w:cstheme="minorBidi"/>
          <w:noProof/>
          <w:color w:val="auto"/>
          <w:kern w:val="2"/>
          <w:sz w:val="24"/>
          <w:szCs w:val="24"/>
          <w14:ligatures w14:val="standardContextual"/>
        </w:rPr>
      </w:pPr>
      <w:hyperlink w:anchor="_Toc239881118" w:history="1">
        <w:r w:rsidRPr="000E4538">
          <w:rPr>
            <w:rStyle w:val="Hyperlink"/>
            <w:noProof/>
          </w:rPr>
          <w:t>2.5  LLM agents that write to analytical systems</w:t>
        </w:r>
        <w:r>
          <w:rPr>
            <w:noProof/>
            <w:webHidden/>
          </w:rPr>
          <w:tab/>
        </w:r>
        <w:r>
          <w:rPr>
            <w:noProof/>
            <w:webHidden/>
          </w:rPr>
          <w:fldChar w:fldCharType="begin"/>
        </w:r>
        <w:r>
          <w:rPr>
            <w:noProof/>
            <w:webHidden/>
          </w:rPr>
          <w:instrText xml:space="preserve"> PAGEREF _Toc239881118 \h </w:instrText>
        </w:r>
        <w:r>
          <w:rPr>
            <w:noProof/>
            <w:webHidden/>
          </w:rPr>
        </w:r>
        <w:r>
          <w:rPr>
            <w:noProof/>
            <w:webHidden/>
          </w:rPr>
          <w:fldChar w:fldCharType="separate"/>
        </w:r>
        <w:r>
          <w:rPr>
            <w:noProof/>
            <w:webHidden/>
          </w:rPr>
          <w:t>9</w:t>
        </w:r>
        <w:r>
          <w:rPr>
            <w:noProof/>
            <w:webHidden/>
          </w:rPr>
          <w:fldChar w:fldCharType="end"/>
        </w:r>
      </w:hyperlink>
    </w:p>
    <w:p w14:paraId="65457F39" w14:textId="0F49A4F7" w:rsidR="00F56855" w:rsidRDefault="00F56855">
      <w:pPr>
        <w:pStyle w:val="TOC2"/>
        <w:rPr>
          <w:rFonts w:asciiTheme="minorHAnsi" w:hAnsiTheme="minorHAnsi" w:cstheme="minorBidi"/>
          <w:noProof/>
          <w:color w:val="auto"/>
          <w:kern w:val="2"/>
          <w:sz w:val="24"/>
          <w:szCs w:val="24"/>
          <w14:ligatures w14:val="standardContextual"/>
        </w:rPr>
      </w:pPr>
      <w:hyperlink w:anchor="_Toc239881119" w:history="1">
        <w:r w:rsidRPr="000E4538">
          <w:rPr>
            <w:rStyle w:val="Hyperlink"/>
            <w:noProof/>
          </w:rPr>
          <w:t>2.6  Industry practice and the reproduction gap</w:t>
        </w:r>
        <w:r>
          <w:rPr>
            <w:noProof/>
            <w:webHidden/>
          </w:rPr>
          <w:tab/>
        </w:r>
        <w:r>
          <w:rPr>
            <w:noProof/>
            <w:webHidden/>
          </w:rPr>
          <w:fldChar w:fldCharType="begin"/>
        </w:r>
        <w:r>
          <w:rPr>
            <w:noProof/>
            <w:webHidden/>
          </w:rPr>
          <w:instrText xml:space="preserve"> PAGEREF _Toc239881119 \h </w:instrText>
        </w:r>
        <w:r>
          <w:rPr>
            <w:noProof/>
            <w:webHidden/>
          </w:rPr>
        </w:r>
        <w:r>
          <w:rPr>
            <w:noProof/>
            <w:webHidden/>
          </w:rPr>
          <w:fldChar w:fldCharType="separate"/>
        </w:r>
        <w:r>
          <w:rPr>
            <w:noProof/>
            <w:webHidden/>
          </w:rPr>
          <w:t>10</w:t>
        </w:r>
        <w:r>
          <w:rPr>
            <w:noProof/>
            <w:webHidden/>
          </w:rPr>
          <w:fldChar w:fldCharType="end"/>
        </w:r>
      </w:hyperlink>
    </w:p>
    <w:p w14:paraId="362EAB83" w14:textId="175F4B80"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20" w:history="1">
        <w:r w:rsidRPr="000E4538">
          <w:rPr>
            <w:rStyle w:val="Hyperlink"/>
            <w:noProof/>
          </w:rPr>
          <w:t>3.  Research Objectives</w:t>
        </w:r>
        <w:r>
          <w:rPr>
            <w:noProof/>
            <w:webHidden/>
          </w:rPr>
          <w:tab/>
        </w:r>
        <w:r>
          <w:rPr>
            <w:noProof/>
            <w:webHidden/>
          </w:rPr>
          <w:fldChar w:fldCharType="begin"/>
        </w:r>
        <w:r>
          <w:rPr>
            <w:noProof/>
            <w:webHidden/>
          </w:rPr>
          <w:instrText xml:space="preserve"> PAGEREF _Toc239881120 \h </w:instrText>
        </w:r>
        <w:r>
          <w:rPr>
            <w:noProof/>
            <w:webHidden/>
          </w:rPr>
        </w:r>
        <w:r>
          <w:rPr>
            <w:noProof/>
            <w:webHidden/>
          </w:rPr>
          <w:fldChar w:fldCharType="separate"/>
        </w:r>
        <w:r>
          <w:rPr>
            <w:noProof/>
            <w:webHidden/>
          </w:rPr>
          <w:t>12</w:t>
        </w:r>
        <w:r>
          <w:rPr>
            <w:noProof/>
            <w:webHidden/>
          </w:rPr>
          <w:fldChar w:fldCharType="end"/>
        </w:r>
      </w:hyperlink>
    </w:p>
    <w:p w14:paraId="37769975" w14:textId="5A01ECA1" w:rsidR="00F56855" w:rsidRDefault="00F56855">
      <w:pPr>
        <w:pStyle w:val="TOC2"/>
        <w:rPr>
          <w:rFonts w:asciiTheme="minorHAnsi" w:hAnsiTheme="minorHAnsi" w:cstheme="minorBidi"/>
          <w:noProof/>
          <w:color w:val="auto"/>
          <w:kern w:val="2"/>
          <w:sz w:val="24"/>
          <w:szCs w:val="24"/>
          <w14:ligatures w14:val="standardContextual"/>
        </w:rPr>
      </w:pPr>
      <w:hyperlink w:anchor="_Toc239881121" w:history="1">
        <w:r w:rsidRPr="000E4538">
          <w:rPr>
            <w:rStyle w:val="Hyperlink"/>
            <w:noProof/>
          </w:rPr>
          <w:t>Objective 1  —  Siting and timing model with a real backtest</w:t>
        </w:r>
        <w:r>
          <w:rPr>
            <w:noProof/>
            <w:webHidden/>
          </w:rPr>
          <w:tab/>
        </w:r>
        <w:r>
          <w:rPr>
            <w:noProof/>
            <w:webHidden/>
          </w:rPr>
          <w:fldChar w:fldCharType="begin"/>
        </w:r>
        <w:r>
          <w:rPr>
            <w:noProof/>
            <w:webHidden/>
          </w:rPr>
          <w:instrText xml:space="preserve"> PAGEREF _Toc239881121 \h </w:instrText>
        </w:r>
        <w:r>
          <w:rPr>
            <w:noProof/>
            <w:webHidden/>
          </w:rPr>
        </w:r>
        <w:r>
          <w:rPr>
            <w:noProof/>
            <w:webHidden/>
          </w:rPr>
          <w:fldChar w:fldCharType="separate"/>
        </w:r>
        <w:r>
          <w:rPr>
            <w:noProof/>
            <w:webHidden/>
          </w:rPr>
          <w:t>12</w:t>
        </w:r>
        <w:r>
          <w:rPr>
            <w:noProof/>
            <w:webHidden/>
          </w:rPr>
          <w:fldChar w:fldCharType="end"/>
        </w:r>
      </w:hyperlink>
    </w:p>
    <w:p w14:paraId="5BE9E150" w14:textId="21D529FF" w:rsidR="00F56855" w:rsidRDefault="00F56855">
      <w:pPr>
        <w:pStyle w:val="TOC2"/>
        <w:rPr>
          <w:rFonts w:asciiTheme="minorHAnsi" w:hAnsiTheme="minorHAnsi" w:cstheme="minorBidi"/>
          <w:noProof/>
          <w:color w:val="auto"/>
          <w:kern w:val="2"/>
          <w:sz w:val="24"/>
          <w:szCs w:val="24"/>
          <w14:ligatures w14:val="standardContextual"/>
        </w:rPr>
      </w:pPr>
      <w:hyperlink w:anchor="_Toc239881122" w:history="1">
        <w:r w:rsidRPr="000E4538">
          <w:rPr>
            <w:rStyle w:val="Hyperlink"/>
            <w:noProof/>
          </w:rPr>
          <w:t>Objective 2  —  Cannibalization as a causal decay curve</w:t>
        </w:r>
        <w:r>
          <w:rPr>
            <w:noProof/>
            <w:webHidden/>
          </w:rPr>
          <w:tab/>
        </w:r>
        <w:r>
          <w:rPr>
            <w:noProof/>
            <w:webHidden/>
          </w:rPr>
          <w:fldChar w:fldCharType="begin"/>
        </w:r>
        <w:r>
          <w:rPr>
            <w:noProof/>
            <w:webHidden/>
          </w:rPr>
          <w:instrText xml:space="preserve"> PAGEREF _Toc239881122 \h </w:instrText>
        </w:r>
        <w:r>
          <w:rPr>
            <w:noProof/>
            <w:webHidden/>
          </w:rPr>
        </w:r>
        <w:r>
          <w:rPr>
            <w:noProof/>
            <w:webHidden/>
          </w:rPr>
          <w:fldChar w:fldCharType="separate"/>
        </w:r>
        <w:r>
          <w:rPr>
            <w:noProof/>
            <w:webHidden/>
          </w:rPr>
          <w:t>13</w:t>
        </w:r>
        <w:r>
          <w:rPr>
            <w:noProof/>
            <w:webHidden/>
          </w:rPr>
          <w:fldChar w:fldCharType="end"/>
        </w:r>
      </w:hyperlink>
    </w:p>
    <w:p w14:paraId="3675A2AA" w14:textId="1535B772" w:rsidR="00F56855" w:rsidRDefault="00F56855">
      <w:pPr>
        <w:pStyle w:val="TOC2"/>
        <w:rPr>
          <w:rFonts w:asciiTheme="minorHAnsi" w:hAnsiTheme="minorHAnsi" w:cstheme="minorBidi"/>
          <w:noProof/>
          <w:color w:val="auto"/>
          <w:kern w:val="2"/>
          <w:sz w:val="24"/>
          <w:szCs w:val="24"/>
          <w14:ligatures w14:val="standardContextual"/>
        </w:rPr>
      </w:pPr>
      <w:hyperlink w:anchor="_Toc239881123" w:history="1">
        <w:r w:rsidRPr="000E4538">
          <w:rPr>
            <w:rStyle w:val="Hyperlink"/>
            <w:noProof/>
          </w:rPr>
          <w:t>Objective 3  —  Agent with identification gates</w:t>
        </w:r>
        <w:r>
          <w:rPr>
            <w:noProof/>
            <w:webHidden/>
          </w:rPr>
          <w:tab/>
        </w:r>
        <w:r>
          <w:rPr>
            <w:noProof/>
            <w:webHidden/>
          </w:rPr>
          <w:fldChar w:fldCharType="begin"/>
        </w:r>
        <w:r>
          <w:rPr>
            <w:noProof/>
            <w:webHidden/>
          </w:rPr>
          <w:instrText xml:space="preserve"> PAGEREF _Toc239881123 \h </w:instrText>
        </w:r>
        <w:r>
          <w:rPr>
            <w:noProof/>
            <w:webHidden/>
          </w:rPr>
        </w:r>
        <w:r>
          <w:rPr>
            <w:noProof/>
            <w:webHidden/>
          </w:rPr>
          <w:fldChar w:fldCharType="separate"/>
        </w:r>
        <w:r>
          <w:rPr>
            <w:noProof/>
            <w:webHidden/>
          </w:rPr>
          <w:t>13</w:t>
        </w:r>
        <w:r>
          <w:rPr>
            <w:noProof/>
            <w:webHidden/>
          </w:rPr>
          <w:fldChar w:fldCharType="end"/>
        </w:r>
      </w:hyperlink>
    </w:p>
    <w:p w14:paraId="59EE1D1D" w14:textId="3C8A6A60" w:rsidR="00F56855" w:rsidRDefault="00F56855">
      <w:pPr>
        <w:pStyle w:val="TOC2"/>
        <w:rPr>
          <w:rFonts w:asciiTheme="minorHAnsi" w:hAnsiTheme="minorHAnsi" w:cstheme="minorBidi"/>
          <w:noProof/>
          <w:color w:val="auto"/>
          <w:kern w:val="2"/>
          <w:sz w:val="24"/>
          <w:szCs w:val="24"/>
          <w14:ligatures w14:val="standardContextual"/>
        </w:rPr>
      </w:pPr>
      <w:hyperlink w:anchor="_Toc239881124" w:history="1">
        <w:r w:rsidRPr="000E4538">
          <w:rPr>
            <w:rStyle w:val="Hyperlink"/>
            <w:noProof/>
          </w:rPr>
          <w:t>Objective 4  —  Deployable application and open dataset</w:t>
        </w:r>
        <w:r>
          <w:rPr>
            <w:noProof/>
            <w:webHidden/>
          </w:rPr>
          <w:tab/>
        </w:r>
        <w:r>
          <w:rPr>
            <w:noProof/>
            <w:webHidden/>
          </w:rPr>
          <w:fldChar w:fldCharType="begin"/>
        </w:r>
        <w:r>
          <w:rPr>
            <w:noProof/>
            <w:webHidden/>
          </w:rPr>
          <w:instrText xml:space="preserve"> PAGEREF _Toc239881124 \h </w:instrText>
        </w:r>
        <w:r>
          <w:rPr>
            <w:noProof/>
            <w:webHidden/>
          </w:rPr>
        </w:r>
        <w:r>
          <w:rPr>
            <w:noProof/>
            <w:webHidden/>
          </w:rPr>
          <w:fldChar w:fldCharType="separate"/>
        </w:r>
        <w:r>
          <w:rPr>
            <w:noProof/>
            <w:webHidden/>
          </w:rPr>
          <w:t>14</w:t>
        </w:r>
        <w:r>
          <w:rPr>
            <w:noProof/>
            <w:webHidden/>
          </w:rPr>
          <w:fldChar w:fldCharType="end"/>
        </w:r>
      </w:hyperlink>
    </w:p>
    <w:p w14:paraId="1EDFB4B5" w14:textId="4CE74F88"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25" w:history="1">
        <w:r w:rsidRPr="000E4538">
          <w:rPr>
            <w:rStyle w:val="Hyperlink"/>
            <w:noProof/>
          </w:rPr>
          <w:t>4.  Data</w:t>
        </w:r>
        <w:r>
          <w:rPr>
            <w:noProof/>
            <w:webHidden/>
          </w:rPr>
          <w:tab/>
        </w:r>
        <w:r>
          <w:rPr>
            <w:noProof/>
            <w:webHidden/>
          </w:rPr>
          <w:fldChar w:fldCharType="begin"/>
        </w:r>
        <w:r>
          <w:rPr>
            <w:noProof/>
            <w:webHidden/>
          </w:rPr>
          <w:instrText xml:space="preserve"> PAGEREF _Toc239881125 \h </w:instrText>
        </w:r>
        <w:r>
          <w:rPr>
            <w:noProof/>
            <w:webHidden/>
          </w:rPr>
        </w:r>
        <w:r>
          <w:rPr>
            <w:noProof/>
            <w:webHidden/>
          </w:rPr>
          <w:fldChar w:fldCharType="separate"/>
        </w:r>
        <w:r>
          <w:rPr>
            <w:noProof/>
            <w:webHidden/>
          </w:rPr>
          <w:t>15</w:t>
        </w:r>
        <w:r>
          <w:rPr>
            <w:noProof/>
            <w:webHidden/>
          </w:rPr>
          <w:fldChar w:fldCharType="end"/>
        </w:r>
      </w:hyperlink>
    </w:p>
    <w:p w14:paraId="07244F10" w14:textId="7F645B54" w:rsidR="00F56855" w:rsidRDefault="00F56855">
      <w:pPr>
        <w:pStyle w:val="TOC2"/>
        <w:rPr>
          <w:rFonts w:asciiTheme="minorHAnsi" w:hAnsiTheme="minorHAnsi" w:cstheme="minorBidi"/>
          <w:noProof/>
          <w:color w:val="auto"/>
          <w:kern w:val="2"/>
          <w:sz w:val="24"/>
          <w:szCs w:val="24"/>
          <w14:ligatures w14:val="standardContextual"/>
        </w:rPr>
      </w:pPr>
      <w:hyperlink w:anchor="_Toc239881126" w:history="1">
        <w:r w:rsidRPr="000E4538">
          <w:rPr>
            <w:rStyle w:val="Hyperlink"/>
            <w:noProof/>
          </w:rPr>
          <w:t>4.1  Sources</w:t>
        </w:r>
        <w:r>
          <w:rPr>
            <w:noProof/>
            <w:webHidden/>
          </w:rPr>
          <w:tab/>
        </w:r>
        <w:r>
          <w:rPr>
            <w:noProof/>
            <w:webHidden/>
          </w:rPr>
          <w:fldChar w:fldCharType="begin"/>
        </w:r>
        <w:r>
          <w:rPr>
            <w:noProof/>
            <w:webHidden/>
          </w:rPr>
          <w:instrText xml:space="preserve"> PAGEREF _Toc239881126 \h </w:instrText>
        </w:r>
        <w:r>
          <w:rPr>
            <w:noProof/>
            <w:webHidden/>
          </w:rPr>
        </w:r>
        <w:r>
          <w:rPr>
            <w:noProof/>
            <w:webHidden/>
          </w:rPr>
          <w:fldChar w:fldCharType="separate"/>
        </w:r>
        <w:r>
          <w:rPr>
            <w:noProof/>
            <w:webHidden/>
          </w:rPr>
          <w:t>15</w:t>
        </w:r>
        <w:r>
          <w:rPr>
            <w:noProof/>
            <w:webHidden/>
          </w:rPr>
          <w:fldChar w:fldCharType="end"/>
        </w:r>
      </w:hyperlink>
    </w:p>
    <w:p w14:paraId="16F9BAFC" w14:textId="4008E8BB" w:rsidR="00F56855" w:rsidRDefault="00F56855">
      <w:pPr>
        <w:pStyle w:val="TOC2"/>
        <w:rPr>
          <w:rFonts w:asciiTheme="minorHAnsi" w:hAnsiTheme="minorHAnsi" w:cstheme="minorBidi"/>
          <w:noProof/>
          <w:color w:val="auto"/>
          <w:kern w:val="2"/>
          <w:sz w:val="24"/>
          <w:szCs w:val="24"/>
          <w14:ligatures w14:val="standardContextual"/>
        </w:rPr>
      </w:pPr>
      <w:hyperlink w:anchor="_Toc239881127" w:history="1">
        <w:r w:rsidRPr="000E4538">
          <w:rPr>
            <w:rStyle w:val="Hyperlink"/>
            <w:noProof/>
          </w:rPr>
          <w:t>4.2  Data currency and the reporting lag</w:t>
        </w:r>
        <w:r>
          <w:rPr>
            <w:noProof/>
            <w:webHidden/>
          </w:rPr>
          <w:tab/>
        </w:r>
        <w:r>
          <w:rPr>
            <w:noProof/>
            <w:webHidden/>
          </w:rPr>
          <w:fldChar w:fldCharType="begin"/>
        </w:r>
        <w:r>
          <w:rPr>
            <w:noProof/>
            <w:webHidden/>
          </w:rPr>
          <w:instrText xml:space="preserve"> PAGEREF _Toc239881127 \h </w:instrText>
        </w:r>
        <w:r>
          <w:rPr>
            <w:noProof/>
            <w:webHidden/>
          </w:rPr>
        </w:r>
        <w:r>
          <w:rPr>
            <w:noProof/>
            <w:webHidden/>
          </w:rPr>
          <w:fldChar w:fldCharType="separate"/>
        </w:r>
        <w:r>
          <w:rPr>
            <w:noProof/>
            <w:webHidden/>
          </w:rPr>
          <w:t>16</w:t>
        </w:r>
        <w:r>
          <w:rPr>
            <w:noProof/>
            <w:webHidden/>
          </w:rPr>
          <w:fldChar w:fldCharType="end"/>
        </w:r>
      </w:hyperlink>
    </w:p>
    <w:p w14:paraId="0587026F" w14:textId="7CC84412" w:rsidR="00F56855" w:rsidRDefault="00F56855">
      <w:pPr>
        <w:pStyle w:val="TOC2"/>
        <w:rPr>
          <w:rFonts w:asciiTheme="minorHAnsi" w:hAnsiTheme="minorHAnsi" w:cstheme="minorBidi"/>
          <w:noProof/>
          <w:color w:val="auto"/>
          <w:kern w:val="2"/>
          <w:sz w:val="24"/>
          <w:szCs w:val="24"/>
          <w14:ligatures w14:val="standardContextual"/>
        </w:rPr>
      </w:pPr>
      <w:hyperlink w:anchor="_Toc239881128" w:history="1">
        <w:r w:rsidRPr="000E4538">
          <w:rPr>
            <w:rStyle w:val="Hyperlink"/>
            <w:noProof/>
          </w:rPr>
          <w:t>4.3  The target variable</w:t>
        </w:r>
        <w:r>
          <w:rPr>
            <w:noProof/>
            <w:webHidden/>
          </w:rPr>
          <w:tab/>
        </w:r>
        <w:r>
          <w:rPr>
            <w:noProof/>
            <w:webHidden/>
          </w:rPr>
          <w:fldChar w:fldCharType="begin"/>
        </w:r>
        <w:r>
          <w:rPr>
            <w:noProof/>
            <w:webHidden/>
          </w:rPr>
          <w:instrText xml:space="preserve"> PAGEREF _Toc239881128 \h </w:instrText>
        </w:r>
        <w:r>
          <w:rPr>
            <w:noProof/>
            <w:webHidden/>
          </w:rPr>
        </w:r>
        <w:r>
          <w:rPr>
            <w:noProof/>
            <w:webHidden/>
          </w:rPr>
          <w:fldChar w:fldCharType="separate"/>
        </w:r>
        <w:r>
          <w:rPr>
            <w:noProof/>
            <w:webHidden/>
          </w:rPr>
          <w:t>17</w:t>
        </w:r>
        <w:r>
          <w:rPr>
            <w:noProof/>
            <w:webHidden/>
          </w:rPr>
          <w:fldChar w:fldCharType="end"/>
        </w:r>
      </w:hyperlink>
    </w:p>
    <w:p w14:paraId="2775083C" w14:textId="550AA990" w:rsidR="00F56855" w:rsidRDefault="00F56855">
      <w:pPr>
        <w:pStyle w:val="TOC2"/>
        <w:rPr>
          <w:rFonts w:asciiTheme="minorHAnsi" w:hAnsiTheme="minorHAnsi" w:cstheme="minorBidi"/>
          <w:noProof/>
          <w:color w:val="auto"/>
          <w:kern w:val="2"/>
          <w:sz w:val="24"/>
          <w:szCs w:val="24"/>
          <w14:ligatures w14:val="standardContextual"/>
        </w:rPr>
      </w:pPr>
      <w:hyperlink w:anchor="_Toc239881129" w:history="1">
        <w:r w:rsidRPr="000E4538">
          <w:rPr>
            <w:rStyle w:val="Hyperlink"/>
            <w:noProof/>
          </w:rPr>
          <w:t>4.4  Sampling frame</w:t>
        </w:r>
        <w:r>
          <w:rPr>
            <w:noProof/>
            <w:webHidden/>
          </w:rPr>
          <w:tab/>
        </w:r>
        <w:r>
          <w:rPr>
            <w:noProof/>
            <w:webHidden/>
          </w:rPr>
          <w:fldChar w:fldCharType="begin"/>
        </w:r>
        <w:r>
          <w:rPr>
            <w:noProof/>
            <w:webHidden/>
          </w:rPr>
          <w:instrText xml:space="preserve"> PAGEREF _Toc239881129 \h </w:instrText>
        </w:r>
        <w:r>
          <w:rPr>
            <w:noProof/>
            <w:webHidden/>
          </w:rPr>
        </w:r>
        <w:r>
          <w:rPr>
            <w:noProof/>
            <w:webHidden/>
          </w:rPr>
          <w:fldChar w:fldCharType="separate"/>
        </w:r>
        <w:r>
          <w:rPr>
            <w:noProof/>
            <w:webHidden/>
          </w:rPr>
          <w:t>18</w:t>
        </w:r>
        <w:r>
          <w:rPr>
            <w:noProof/>
            <w:webHidden/>
          </w:rPr>
          <w:fldChar w:fldCharType="end"/>
        </w:r>
      </w:hyperlink>
    </w:p>
    <w:p w14:paraId="4FC9AA35" w14:textId="50765509" w:rsidR="00F56855" w:rsidRDefault="00F56855">
      <w:pPr>
        <w:pStyle w:val="TOC2"/>
        <w:rPr>
          <w:rFonts w:asciiTheme="minorHAnsi" w:hAnsiTheme="minorHAnsi" w:cstheme="minorBidi"/>
          <w:noProof/>
          <w:color w:val="auto"/>
          <w:kern w:val="2"/>
          <w:sz w:val="24"/>
          <w:szCs w:val="24"/>
          <w14:ligatures w14:val="standardContextual"/>
        </w:rPr>
      </w:pPr>
      <w:hyperlink w:anchor="_Toc239881130" w:history="1">
        <w:r w:rsidRPr="000E4538">
          <w:rPr>
            <w:rStyle w:val="Hyperlink"/>
            <w:noProof/>
          </w:rPr>
          <w:t>4.5  Limitations and mitigations</w:t>
        </w:r>
        <w:r>
          <w:rPr>
            <w:noProof/>
            <w:webHidden/>
          </w:rPr>
          <w:tab/>
        </w:r>
        <w:r>
          <w:rPr>
            <w:noProof/>
            <w:webHidden/>
          </w:rPr>
          <w:fldChar w:fldCharType="begin"/>
        </w:r>
        <w:r>
          <w:rPr>
            <w:noProof/>
            <w:webHidden/>
          </w:rPr>
          <w:instrText xml:space="preserve"> PAGEREF _Toc239881130 \h </w:instrText>
        </w:r>
        <w:r>
          <w:rPr>
            <w:noProof/>
            <w:webHidden/>
          </w:rPr>
        </w:r>
        <w:r>
          <w:rPr>
            <w:noProof/>
            <w:webHidden/>
          </w:rPr>
          <w:fldChar w:fldCharType="separate"/>
        </w:r>
        <w:r>
          <w:rPr>
            <w:noProof/>
            <w:webHidden/>
          </w:rPr>
          <w:t>18</w:t>
        </w:r>
        <w:r>
          <w:rPr>
            <w:noProof/>
            <w:webHidden/>
          </w:rPr>
          <w:fldChar w:fldCharType="end"/>
        </w:r>
      </w:hyperlink>
    </w:p>
    <w:p w14:paraId="069386E1" w14:textId="7ED72EF4" w:rsidR="00F56855" w:rsidRDefault="00F56855">
      <w:pPr>
        <w:pStyle w:val="TOC2"/>
        <w:rPr>
          <w:rFonts w:asciiTheme="minorHAnsi" w:hAnsiTheme="minorHAnsi" w:cstheme="minorBidi"/>
          <w:noProof/>
          <w:color w:val="auto"/>
          <w:kern w:val="2"/>
          <w:sz w:val="24"/>
          <w:szCs w:val="24"/>
          <w14:ligatures w14:val="standardContextual"/>
        </w:rPr>
      </w:pPr>
      <w:hyperlink w:anchor="_Toc239881131" w:history="1">
        <w:r w:rsidRPr="000E4538">
          <w:rPr>
            <w:rStyle w:val="Hyperlink"/>
            <w:noProof/>
          </w:rPr>
          <w:t>4.6  Identification strategy and selection</w:t>
        </w:r>
        <w:r>
          <w:rPr>
            <w:noProof/>
            <w:webHidden/>
          </w:rPr>
          <w:tab/>
        </w:r>
        <w:r>
          <w:rPr>
            <w:noProof/>
            <w:webHidden/>
          </w:rPr>
          <w:fldChar w:fldCharType="begin"/>
        </w:r>
        <w:r>
          <w:rPr>
            <w:noProof/>
            <w:webHidden/>
          </w:rPr>
          <w:instrText xml:space="preserve"> PAGEREF _Toc239881131 \h </w:instrText>
        </w:r>
        <w:r>
          <w:rPr>
            <w:noProof/>
            <w:webHidden/>
          </w:rPr>
        </w:r>
        <w:r>
          <w:rPr>
            <w:noProof/>
            <w:webHidden/>
          </w:rPr>
          <w:fldChar w:fldCharType="separate"/>
        </w:r>
        <w:r>
          <w:rPr>
            <w:noProof/>
            <w:webHidden/>
          </w:rPr>
          <w:t>19</w:t>
        </w:r>
        <w:r>
          <w:rPr>
            <w:noProof/>
            <w:webHidden/>
          </w:rPr>
          <w:fldChar w:fldCharType="end"/>
        </w:r>
      </w:hyperlink>
    </w:p>
    <w:p w14:paraId="64AA0E1F" w14:textId="1CDF4526"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32" w:history="1">
        <w:r w:rsidRPr="000E4538">
          <w:rPr>
            <w:rStyle w:val="Hyperlink"/>
            <w:noProof/>
          </w:rPr>
          <w:t>5.  Proposed Methods</w:t>
        </w:r>
        <w:r>
          <w:rPr>
            <w:noProof/>
            <w:webHidden/>
          </w:rPr>
          <w:tab/>
        </w:r>
        <w:r>
          <w:rPr>
            <w:noProof/>
            <w:webHidden/>
          </w:rPr>
          <w:fldChar w:fldCharType="begin"/>
        </w:r>
        <w:r>
          <w:rPr>
            <w:noProof/>
            <w:webHidden/>
          </w:rPr>
          <w:instrText xml:space="preserve"> PAGEREF _Toc239881132 \h </w:instrText>
        </w:r>
        <w:r>
          <w:rPr>
            <w:noProof/>
            <w:webHidden/>
          </w:rPr>
        </w:r>
        <w:r>
          <w:rPr>
            <w:noProof/>
            <w:webHidden/>
          </w:rPr>
          <w:fldChar w:fldCharType="separate"/>
        </w:r>
        <w:r>
          <w:rPr>
            <w:noProof/>
            <w:webHidden/>
          </w:rPr>
          <w:t>21</w:t>
        </w:r>
        <w:r>
          <w:rPr>
            <w:noProof/>
            <w:webHidden/>
          </w:rPr>
          <w:fldChar w:fldCharType="end"/>
        </w:r>
      </w:hyperlink>
    </w:p>
    <w:p w14:paraId="6AECB7CA" w14:textId="284496DB" w:rsidR="00F56855" w:rsidRDefault="00F56855">
      <w:pPr>
        <w:pStyle w:val="TOC2"/>
        <w:rPr>
          <w:rFonts w:asciiTheme="minorHAnsi" w:hAnsiTheme="minorHAnsi" w:cstheme="minorBidi"/>
          <w:noProof/>
          <w:color w:val="auto"/>
          <w:kern w:val="2"/>
          <w:sz w:val="24"/>
          <w:szCs w:val="24"/>
          <w14:ligatures w14:val="standardContextual"/>
        </w:rPr>
      </w:pPr>
      <w:hyperlink w:anchor="_Toc239881133" w:history="1">
        <w:r w:rsidRPr="000E4538">
          <w:rPr>
            <w:rStyle w:val="Hyperlink"/>
            <w:noProof/>
          </w:rPr>
          <w:t>5.1  System architecture</w:t>
        </w:r>
        <w:r>
          <w:rPr>
            <w:noProof/>
            <w:webHidden/>
          </w:rPr>
          <w:tab/>
        </w:r>
        <w:r>
          <w:rPr>
            <w:noProof/>
            <w:webHidden/>
          </w:rPr>
          <w:fldChar w:fldCharType="begin"/>
        </w:r>
        <w:r>
          <w:rPr>
            <w:noProof/>
            <w:webHidden/>
          </w:rPr>
          <w:instrText xml:space="preserve"> PAGEREF _Toc239881133 \h </w:instrText>
        </w:r>
        <w:r>
          <w:rPr>
            <w:noProof/>
            <w:webHidden/>
          </w:rPr>
        </w:r>
        <w:r>
          <w:rPr>
            <w:noProof/>
            <w:webHidden/>
          </w:rPr>
          <w:fldChar w:fldCharType="separate"/>
        </w:r>
        <w:r>
          <w:rPr>
            <w:noProof/>
            <w:webHidden/>
          </w:rPr>
          <w:t>21</w:t>
        </w:r>
        <w:r>
          <w:rPr>
            <w:noProof/>
            <w:webHidden/>
          </w:rPr>
          <w:fldChar w:fldCharType="end"/>
        </w:r>
      </w:hyperlink>
    </w:p>
    <w:p w14:paraId="1653BC3E" w14:textId="69E6FFAB" w:rsidR="00F56855" w:rsidRDefault="00F56855">
      <w:pPr>
        <w:pStyle w:val="TOC2"/>
        <w:rPr>
          <w:rFonts w:asciiTheme="minorHAnsi" w:hAnsiTheme="minorHAnsi" w:cstheme="minorBidi"/>
          <w:noProof/>
          <w:color w:val="auto"/>
          <w:kern w:val="2"/>
          <w:sz w:val="24"/>
          <w:szCs w:val="24"/>
          <w14:ligatures w14:val="standardContextual"/>
        </w:rPr>
      </w:pPr>
      <w:hyperlink w:anchor="_Toc239881134" w:history="1">
        <w:r w:rsidRPr="000E4538">
          <w:rPr>
            <w:rStyle w:val="Hyperlink"/>
            <w:noProof/>
          </w:rPr>
          <w:t>5.2  Dimensional warehouse</w:t>
        </w:r>
        <w:r>
          <w:rPr>
            <w:noProof/>
            <w:webHidden/>
          </w:rPr>
          <w:tab/>
        </w:r>
        <w:r>
          <w:rPr>
            <w:noProof/>
            <w:webHidden/>
          </w:rPr>
          <w:fldChar w:fldCharType="begin"/>
        </w:r>
        <w:r>
          <w:rPr>
            <w:noProof/>
            <w:webHidden/>
          </w:rPr>
          <w:instrText xml:space="preserve"> PAGEREF _Toc239881134 \h </w:instrText>
        </w:r>
        <w:r>
          <w:rPr>
            <w:noProof/>
            <w:webHidden/>
          </w:rPr>
        </w:r>
        <w:r>
          <w:rPr>
            <w:noProof/>
            <w:webHidden/>
          </w:rPr>
          <w:fldChar w:fldCharType="separate"/>
        </w:r>
        <w:r>
          <w:rPr>
            <w:noProof/>
            <w:webHidden/>
          </w:rPr>
          <w:t>21</w:t>
        </w:r>
        <w:r>
          <w:rPr>
            <w:noProof/>
            <w:webHidden/>
          </w:rPr>
          <w:fldChar w:fldCharType="end"/>
        </w:r>
      </w:hyperlink>
    </w:p>
    <w:p w14:paraId="256953BE" w14:textId="22C25883" w:rsidR="00F56855" w:rsidRDefault="00F56855">
      <w:pPr>
        <w:pStyle w:val="TOC2"/>
        <w:rPr>
          <w:rFonts w:asciiTheme="minorHAnsi" w:hAnsiTheme="minorHAnsi" w:cstheme="minorBidi"/>
          <w:noProof/>
          <w:color w:val="auto"/>
          <w:kern w:val="2"/>
          <w:sz w:val="24"/>
          <w:szCs w:val="24"/>
          <w14:ligatures w14:val="standardContextual"/>
        </w:rPr>
      </w:pPr>
      <w:hyperlink w:anchor="_Toc239881135" w:history="1">
        <w:r w:rsidRPr="000E4538">
          <w:rPr>
            <w:rStyle w:val="Hyperlink"/>
            <w:noProof/>
          </w:rPr>
          <w:t>5.3  Siting and timing model</w:t>
        </w:r>
        <w:r>
          <w:rPr>
            <w:noProof/>
            <w:webHidden/>
          </w:rPr>
          <w:tab/>
        </w:r>
        <w:r>
          <w:rPr>
            <w:noProof/>
            <w:webHidden/>
          </w:rPr>
          <w:fldChar w:fldCharType="begin"/>
        </w:r>
        <w:r>
          <w:rPr>
            <w:noProof/>
            <w:webHidden/>
          </w:rPr>
          <w:instrText xml:space="preserve"> PAGEREF _Toc239881135 \h </w:instrText>
        </w:r>
        <w:r>
          <w:rPr>
            <w:noProof/>
            <w:webHidden/>
          </w:rPr>
        </w:r>
        <w:r>
          <w:rPr>
            <w:noProof/>
            <w:webHidden/>
          </w:rPr>
          <w:fldChar w:fldCharType="separate"/>
        </w:r>
        <w:r>
          <w:rPr>
            <w:noProof/>
            <w:webHidden/>
          </w:rPr>
          <w:t>22</w:t>
        </w:r>
        <w:r>
          <w:rPr>
            <w:noProof/>
            <w:webHidden/>
          </w:rPr>
          <w:fldChar w:fldCharType="end"/>
        </w:r>
      </w:hyperlink>
    </w:p>
    <w:p w14:paraId="54BE62DC" w14:textId="31BEA28B" w:rsidR="00F56855" w:rsidRDefault="00F56855">
      <w:pPr>
        <w:pStyle w:val="TOC2"/>
        <w:rPr>
          <w:rFonts w:asciiTheme="minorHAnsi" w:hAnsiTheme="minorHAnsi" w:cstheme="minorBidi"/>
          <w:noProof/>
          <w:color w:val="auto"/>
          <w:kern w:val="2"/>
          <w:sz w:val="24"/>
          <w:szCs w:val="24"/>
          <w14:ligatures w14:val="standardContextual"/>
        </w:rPr>
      </w:pPr>
      <w:hyperlink w:anchor="_Toc239881136" w:history="1">
        <w:r w:rsidRPr="000E4538">
          <w:rPr>
            <w:rStyle w:val="Hyperlink"/>
            <w:noProof/>
          </w:rPr>
          <w:t>5.4  Cannibalization and the spatial weight matrix</w:t>
        </w:r>
        <w:r>
          <w:rPr>
            <w:noProof/>
            <w:webHidden/>
          </w:rPr>
          <w:tab/>
        </w:r>
        <w:r>
          <w:rPr>
            <w:noProof/>
            <w:webHidden/>
          </w:rPr>
          <w:fldChar w:fldCharType="begin"/>
        </w:r>
        <w:r>
          <w:rPr>
            <w:noProof/>
            <w:webHidden/>
          </w:rPr>
          <w:instrText xml:space="preserve"> PAGEREF _Toc239881136 \h </w:instrText>
        </w:r>
        <w:r>
          <w:rPr>
            <w:noProof/>
            <w:webHidden/>
          </w:rPr>
        </w:r>
        <w:r>
          <w:rPr>
            <w:noProof/>
            <w:webHidden/>
          </w:rPr>
          <w:fldChar w:fldCharType="separate"/>
        </w:r>
        <w:r>
          <w:rPr>
            <w:noProof/>
            <w:webHidden/>
          </w:rPr>
          <w:t>23</w:t>
        </w:r>
        <w:r>
          <w:rPr>
            <w:noProof/>
            <w:webHidden/>
          </w:rPr>
          <w:fldChar w:fldCharType="end"/>
        </w:r>
      </w:hyperlink>
    </w:p>
    <w:p w14:paraId="26E36CA9" w14:textId="212634C5" w:rsidR="00F56855" w:rsidRDefault="00F56855">
      <w:pPr>
        <w:pStyle w:val="TOC2"/>
        <w:rPr>
          <w:rFonts w:asciiTheme="minorHAnsi" w:hAnsiTheme="minorHAnsi" w:cstheme="minorBidi"/>
          <w:noProof/>
          <w:color w:val="auto"/>
          <w:kern w:val="2"/>
          <w:sz w:val="24"/>
          <w:szCs w:val="24"/>
          <w14:ligatures w14:val="standardContextual"/>
        </w:rPr>
      </w:pPr>
      <w:hyperlink w:anchor="_Toc239881137" w:history="1">
        <w:r w:rsidRPr="000E4538">
          <w:rPr>
            <w:rStyle w:val="Hyperlink"/>
            <w:noProof/>
          </w:rPr>
          <w:t>5.5  Cost model</w:t>
        </w:r>
        <w:r>
          <w:rPr>
            <w:noProof/>
            <w:webHidden/>
          </w:rPr>
          <w:tab/>
        </w:r>
        <w:r>
          <w:rPr>
            <w:noProof/>
            <w:webHidden/>
          </w:rPr>
          <w:fldChar w:fldCharType="begin"/>
        </w:r>
        <w:r>
          <w:rPr>
            <w:noProof/>
            <w:webHidden/>
          </w:rPr>
          <w:instrText xml:space="preserve"> PAGEREF _Toc239881137 \h </w:instrText>
        </w:r>
        <w:r>
          <w:rPr>
            <w:noProof/>
            <w:webHidden/>
          </w:rPr>
        </w:r>
        <w:r>
          <w:rPr>
            <w:noProof/>
            <w:webHidden/>
          </w:rPr>
          <w:fldChar w:fldCharType="separate"/>
        </w:r>
        <w:r>
          <w:rPr>
            <w:noProof/>
            <w:webHidden/>
          </w:rPr>
          <w:t>24</w:t>
        </w:r>
        <w:r>
          <w:rPr>
            <w:noProof/>
            <w:webHidden/>
          </w:rPr>
          <w:fldChar w:fldCharType="end"/>
        </w:r>
      </w:hyperlink>
    </w:p>
    <w:p w14:paraId="7DCC67F5" w14:textId="4685B1ED" w:rsidR="00F56855" w:rsidRDefault="00F56855">
      <w:pPr>
        <w:pStyle w:val="TOC2"/>
        <w:rPr>
          <w:rFonts w:asciiTheme="minorHAnsi" w:hAnsiTheme="minorHAnsi" w:cstheme="minorBidi"/>
          <w:noProof/>
          <w:color w:val="auto"/>
          <w:kern w:val="2"/>
          <w:sz w:val="24"/>
          <w:szCs w:val="24"/>
          <w14:ligatures w14:val="standardContextual"/>
        </w:rPr>
      </w:pPr>
      <w:hyperlink w:anchor="_Toc239881138" w:history="1">
        <w:r w:rsidRPr="000E4538">
          <w:rPr>
            <w:rStyle w:val="Hyperlink"/>
            <w:noProof/>
          </w:rPr>
          <w:t>5.6  Net present value and portfolio selection</w:t>
        </w:r>
        <w:r>
          <w:rPr>
            <w:noProof/>
            <w:webHidden/>
          </w:rPr>
          <w:tab/>
        </w:r>
        <w:r>
          <w:rPr>
            <w:noProof/>
            <w:webHidden/>
          </w:rPr>
          <w:fldChar w:fldCharType="begin"/>
        </w:r>
        <w:r>
          <w:rPr>
            <w:noProof/>
            <w:webHidden/>
          </w:rPr>
          <w:instrText xml:space="preserve"> PAGEREF _Toc239881138 \h </w:instrText>
        </w:r>
        <w:r>
          <w:rPr>
            <w:noProof/>
            <w:webHidden/>
          </w:rPr>
        </w:r>
        <w:r>
          <w:rPr>
            <w:noProof/>
            <w:webHidden/>
          </w:rPr>
          <w:fldChar w:fldCharType="separate"/>
        </w:r>
        <w:r>
          <w:rPr>
            <w:noProof/>
            <w:webHidden/>
          </w:rPr>
          <w:t>24</w:t>
        </w:r>
        <w:r>
          <w:rPr>
            <w:noProof/>
            <w:webHidden/>
          </w:rPr>
          <w:fldChar w:fldCharType="end"/>
        </w:r>
      </w:hyperlink>
    </w:p>
    <w:p w14:paraId="25BD16AB" w14:textId="49BA1BEE" w:rsidR="00F56855" w:rsidRDefault="00F56855">
      <w:pPr>
        <w:pStyle w:val="TOC2"/>
        <w:rPr>
          <w:rFonts w:asciiTheme="minorHAnsi" w:hAnsiTheme="minorHAnsi" w:cstheme="minorBidi"/>
          <w:noProof/>
          <w:color w:val="auto"/>
          <w:kern w:val="2"/>
          <w:sz w:val="24"/>
          <w:szCs w:val="24"/>
          <w14:ligatures w14:val="standardContextual"/>
        </w:rPr>
      </w:pPr>
      <w:hyperlink w:anchor="_Toc239881139" w:history="1">
        <w:r w:rsidRPr="000E4538">
          <w:rPr>
            <w:rStyle w:val="Hyperlink"/>
            <w:noProof/>
          </w:rPr>
          <w:t>5.7  Agent layer and the six gates</w:t>
        </w:r>
        <w:r>
          <w:rPr>
            <w:noProof/>
            <w:webHidden/>
          </w:rPr>
          <w:tab/>
        </w:r>
        <w:r>
          <w:rPr>
            <w:noProof/>
            <w:webHidden/>
          </w:rPr>
          <w:fldChar w:fldCharType="begin"/>
        </w:r>
        <w:r>
          <w:rPr>
            <w:noProof/>
            <w:webHidden/>
          </w:rPr>
          <w:instrText xml:space="preserve"> PAGEREF _Toc239881139 \h </w:instrText>
        </w:r>
        <w:r>
          <w:rPr>
            <w:noProof/>
            <w:webHidden/>
          </w:rPr>
        </w:r>
        <w:r>
          <w:rPr>
            <w:noProof/>
            <w:webHidden/>
          </w:rPr>
          <w:fldChar w:fldCharType="separate"/>
        </w:r>
        <w:r>
          <w:rPr>
            <w:noProof/>
            <w:webHidden/>
          </w:rPr>
          <w:t>26</w:t>
        </w:r>
        <w:r>
          <w:rPr>
            <w:noProof/>
            <w:webHidden/>
          </w:rPr>
          <w:fldChar w:fldCharType="end"/>
        </w:r>
      </w:hyperlink>
    </w:p>
    <w:p w14:paraId="621B70EA" w14:textId="1E55B786" w:rsidR="00F56855" w:rsidRDefault="00F56855">
      <w:pPr>
        <w:pStyle w:val="TOC2"/>
        <w:rPr>
          <w:rFonts w:asciiTheme="minorHAnsi" w:hAnsiTheme="minorHAnsi" w:cstheme="minorBidi"/>
          <w:noProof/>
          <w:color w:val="auto"/>
          <w:kern w:val="2"/>
          <w:sz w:val="24"/>
          <w:szCs w:val="24"/>
          <w14:ligatures w14:val="standardContextual"/>
        </w:rPr>
      </w:pPr>
      <w:hyperlink w:anchor="_Toc239881140" w:history="1">
        <w:r w:rsidRPr="000E4538">
          <w:rPr>
            <w:rStyle w:val="Hyperlink"/>
            <w:noProof/>
          </w:rPr>
          <w:t>5.8  Contributions</w:t>
        </w:r>
        <w:r>
          <w:rPr>
            <w:noProof/>
            <w:webHidden/>
          </w:rPr>
          <w:tab/>
        </w:r>
        <w:r>
          <w:rPr>
            <w:noProof/>
            <w:webHidden/>
          </w:rPr>
          <w:fldChar w:fldCharType="begin"/>
        </w:r>
        <w:r>
          <w:rPr>
            <w:noProof/>
            <w:webHidden/>
          </w:rPr>
          <w:instrText xml:space="preserve"> PAGEREF _Toc239881140 \h </w:instrText>
        </w:r>
        <w:r>
          <w:rPr>
            <w:noProof/>
            <w:webHidden/>
          </w:rPr>
        </w:r>
        <w:r>
          <w:rPr>
            <w:noProof/>
            <w:webHidden/>
          </w:rPr>
          <w:fldChar w:fldCharType="separate"/>
        </w:r>
        <w:r>
          <w:rPr>
            <w:noProof/>
            <w:webHidden/>
          </w:rPr>
          <w:t>27</w:t>
        </w:r>
        <w:r>
          <w:rPr>
            <w:noProof/>
            <w:webHidden/>
          </w:rPr>
          <w:fldChar w:fldCharType="end"/>
        </w:r>
      </w:hyperlink>
    </w:p>
    <w:p w14:paraId="51C7B632" w14:textId="7A62F58A" w:rsidR="00F56855" w:rsidRDefault="00F56855">
      <w:pPr>
        <w:pStyle w:val="TOC2"/>
        <w:rPr>
          <w:rFonts w:asciiTheme="minorHAnsi" w:hAnsiTheme="minorHAnsi" w:cstheme="minorBidi"/>
          <w:noProof/>
          <w:color w:val="auto"/>
          <w:kern w:val="2"/>
          <w:sz w:val="24"/>
          <w:szCs w:val="24"/>
          <w14:ligatures w14:val="standardContextual"/>
        </w:rPr>
      </w:pPr>
      <w:hyperlink w:anchor="_Toc239881141" w:history="1">
        <w:r w:rsidRPr="000E4538">
          <w:rPr>
            <w:rStyle w:val="Hyperlink"/>
            <w:noProof/>
          </w:rPr>
          <w:t>5.9  Engineering feasibility</w:t>
        </w:r>
        <w:r>
          <w:rPr>
            <w:noProof/>
            <w:webHidden/>
          </w:rPr>
          <w:tab/>
        </w:r>
        <w:r>
          <w:rPr>
            <w:noProof/>
            <w:webHidden/>
          </w:rPr>
          <w:fldChar w:fldCharType="begin"/>
        </w:r>
        <w:r>
          <w:rPr>
            <w:noProof/>
            <w:webHidden/>
          </w:rPr>
          <w:instrText xml:space="preserve"> PAGEREF _Toc239881141 \h </w:instrText>
        </w:r>
        <w:r>
          <w:rPr>
            <w:noProof/>
            <w:webHidden/>
          </w:rPr>
        </w:r>
        <w:r>
          <w:rPr>
            <w:noProof/>
            <w:webHidden/>
          </w:rPr>
          <w:fldChar w:fldCharType="separate"/>
        </w:r>
        <w:r>
          <w:rPr>
            <w:noProof/>
            <w:webHidden/>
          </w:rPr>
          <w:t>28</w:t>
        </w:r>
        <w:r>
          <w:rPr>
            <w:noProof/>
            <w:webHidden/>
          </w:rPr>
          <w:fldChar w:fldCharType="end"/>
        </w:r>
      </w:hyperlink>
    </w:p>
    <w:p w14:paraId="75A5794C" w14:textId="663C1951"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2" w:history="1">
        <w:r w:rsidRPr="000E4538">
          <w:rPr>
            <w:rStyle w:val="Hyperlink"/>
            <w:noProof/>
          </w:rPr>
          <w:t>6.  Roles and Contributions</w:t>
        </w:r>
        <w:r>
          <w:rPr>
            <w:noProof/>
            <w:webHidden/>
          </w:rPr>
          <w:tab/>
        </w:r>
        <w:r>
          <w:rPr>
            <w:noProof/>
            <w:webHidden/>
          </w:rPr>
          <w:fldChar w:fldCharType="begin"/>
        </w:r>
        <w:r>
          <w:rPr>
            <w:noProof/>
            <w:webHidden/>
          </w:rPr>
          <w:instrText xml:space="preserve"> PAGEREF _Toc239881142 \h </w:instrText>
        </w:r>
        <w:r>
          <w:rPr>
            <w:noProof/>
            <w:webHidden/>
          </w:rPr>
        </w:r>
        <w:r>
          <w:rPr>
            <w:noProof/>
            <w:webHidden/>
          </w:rPr>
          <w:fldChar w:fldCharType="separate"/>
        </w:r>
        <w:r>
          <w:rPr>
            <w:noProof/>
            <w:webHidden/>
          </w:rPr>
          <w:t>30</w:t>
        </w:r>
        <w:r>
          <w:rPr>
            <w:noProof/>
            <w:webHidden/>
          </w:rPr>
          <w:fldChar w:fldCharType="end"/>
        </w:r>
      </w:hyperlink>
    </w:p>
    <w:p w14:paraId="682B5058" w14:textId="769C46FF" w:rsidR="00F56855" w:rsidRDefault="00F56855">
      <w:pPr>
        <w:pStyle w:val="TOC2"/>
        <w:rPr>
          <w:rFonts w:asciiTheme="minorHAnsi" w:hAnsiTheme="minorHAnsi" w:cstheme="minorBidi"/>
          <w:noProof/>
          <w:color w:val="auto"/>
          <w:kern w:val="2"/>
          <w:sz w:val="24"/>
          <w:szCs w:val="24"/>
          <w14:ligatures w14:val="standardContextual"/>
        </w:rPr>
      </w:pPr>
      <w:hyperlink w:anchor="_Toc239881143" w:history="1">
        <w:r w:rsidRPr="000E4538">
          <w:rPr>
            <w:rStyle w:val="Hyperlink"/>
            <w:noProof/>
          </w:rPr>
          <w:t>6.1  P1  —  Sharada Dogiparthi</w:t>
        </w:r>
        <w:r>
          <w:rPr>
            <w:noProof/>
            <w:webHidden/>
          </w:rPr>
          <w:tab/>
        </w:r>
        <w:r>
          <w:rPr>
            <w:noProof/>
            <w:webHidden/>
          </w:rPr>
          <w:fldChar w:fldCharType="begin"/>
        </w:r>
        <w:r>
          <w:rPr>
            <w:noProof/>
            <w:webHidden/>
          </w:rPr>
          <w:instrText xml:space="preserve"> PAGEREF _Toc239881143 \h </w:instrText>
        </w:r>
        <w:r>
          <w:rPr>
            <w:noProof/>
            <w:webHidden/>
          </w:rPr>
        </w:r>
        <w:r>
          <w:rPr>
            <w:noProof/>
            <w:webHidden/>
          </w:rPr>
          <w:fldChar w:fldCharType="separate"/>
        </w:r>
        <w:r>
          <w:rPr>
            <w:noProof/>
            <w:webHidden/>
          </w:rPr>
          <w:t>30</w:t>
        </w:r>
        <w:r>
          <w:rPr>
            <w:noProof/>
            <w:webHidden/>
          </w:rPr>
          <w:fldChar w:fldCharType="end"/>
        </w:r>
      </w:hyperlink>
    </w:p>
    <w:p w14:paraId="60B623FF" w14:textId="50D941AD" w:rsidR="00F56855" w:rsidRDefault="00F56855">
      <w:pPr>
        <w:pStyle w:val="TOC2"/>
        <w:rPr>
          <w:rFonts w:asciiTheme="minorHAnsi" w:hAnsiTheme="minorHAnsi" w:cstheme="minorBidi"/>
          <w:noProof/>
          <w:color w:val="auto"/>
          <w:kern w:val="2"/>
          <w:sz w:val="24"/>
          <w:szCs w:val="24"/>
          <w14:ligatures w14:val="standardContextual"/>
        </w:rPr>
      </w:pPr>
      <w:hyperlink w:anchor="_Toc239881144" w:history="1">
        <w:r w:rsidRPr="000E4538">
          <w:rPr>
            <w:rStyle w:val="Hyperlink"/>
            <w:noProof/>
          </w:rPr>
          <w:t>6.2  P2  —  Srilekha Budithi</w:t>
        </w:r>
        <w:r>
          <w:rPr>
            <w:noProof/>
            <w:webHidden/>
          </w:rPr>
          <w:tab/>
        </w:r>
        <w:r>
          <w:rPr>
            <w:noProof/>
            <w:webHidden/>
          </w:rPr>
          <w:fldChar w:fldCharType="begin"/>
        </w:r>
        <w:r>
          <w:rPr>
            <w:noProof/>
            <w:webHidden/>
          </w:rPr>
          <w:instrText xml:space="preserve"> PAGEREF _Toc239881144 \h </w:instrText>
        </w:r>
        <w:r>
          <w:rPr>
            <w:noProof/>
            <w:webHidden/>
          </w:rPr>
        </w:r>
        <w:r>
          <w:rPr>
            <w:noProof/>
            <w:webHidden/>
          </w:rPr>
          <w:fldChar w:fldCharType="separate"/>
        </w:r>
        <w:r>
          <w:rPr>
            <w:noProof/>
            <w:webHidden/>
          </w:rPr>
          <w:t>31</w:t>
        </w:r>
        <w:r>
          <w:rPr>
            <w:noProof/>
            <w:webHidden/>
          </w:rPr>
          <w:fldChar w:fldCharType="end"/>
        </w:r>
      </w:hyperlink>
    </w:p>
    <w:p w14:paraId="468FDA48" w14:textId="1AE129B4" w:rsidR="00F56855" w:rsidRDefault="00F56855">
      <w:pPr>
        <w:pStyle w:val="TOC2"/>
        <w:rPr>
          <w:rFonts w:asciiTheme="minorHAnsi" w:hAnsiTheme="minorHAnsi" w:cstheme="minorBidi"/>
          <w:noProof/>
          <w:color w:val="auto"/>
          <w:kern w:val="2"/>
          <w:sz w:val="24"/>
          <w:szCs w:val="24"/>
          <w14:ligatures w14:val="standardContextual"/>
        </w:rPr>
      </w:pPr>
      <w:hyperlink w:anchor="_Toc239881145" w:history="1">
        <w:r w:rsidRPr="000E4538">
          <w:rPr>
            <w:rStyle w:val="Hyperlink"/>
            <w:noProof/>
          </w:rPr>
          <w:t>6.3  P3  —  Rakshitha Venigalla</w:t>
        </w:r>
        <w:r>
          <w:rPr>
            <w:noProof/>
            <w:webHidden/>
          </w:rPr>
          <w:tab/>
        </w:r>
        <w:r>
          <w:rPr>
            <w:noProof/>
            <w:webHidden/>
          </w:rPr>
          <w:fldChar w:fldCharType="begin"/>
        </w:r>
        <w:r>
          <w:rPr>
            <w:noProof/>
            <w:webHidden/>
          </w:rPr>
          <w:instrText xml:space="preserve"> PAGEREF _Toc239881145 \h </w:instrText>
        </w:r>
        <w:r>
          <w:rPr>
            <w:noProof/>
            <w:webHidden/>
          </w:rPr>
        </w:r>
        <w:r>
          <w:rPr>
            <w:noProof/>
            <w:webHidden/>
          </w:rPr>
          <w:fldChar w:fldCharType="separate"/>
        </w:r>
        <w:r>
          <w:rPr>
            <w:noProof/>
            <w:webHidden/>
          </w:rPr>
          <w:t>31</w:t>
        </w:r>
        <w:r>
          <w:rPr>
            <w:noProof/>
            <w:webHidden/>
          </w:rPr>
          <w:fldChar w:fldCharType="end"/>
        </w:r>
      </w:hyperlink>
    </w:p>
    <w:p w14:paraId="17B5E489" w14:textId="4AFC8E80" w:rsidR="00F56855" w:rsidRDefault="00F56855">
      <w:pPr>
        <w:pStyle w:val="TOC2"/>
        <w:rPr>
          <w:rFonts w:asciiTheme="minorHAnsi" w:hAnsiTheme="minorHAnsi" w:cstheme="minorBidi"/>
          <w:noProof/>
          <w:color w:val="auto"/>
          <w:kern w:val="2"/>
          <w:sz w:val="24"/>
          <w:szCs w:val="24"/>
          <w14:ligatures w14:val="standardContextual"/>
        </w:rPr>
      </w:pPr>
      <w:hyperlink w:anchor="_Toc239881146" w:history="1">
        <w:r w:rsidRPr="000E4538">
          <w:rPr>
            <w:rStyle w:val="Hyperlink"/>
            <w:noProof/>
          </w:rPr>
          <w:t>6.4  Joint Ownership</w:t>
        </w:r>
        <w:r>
          <w:rPr>
            <w:noProof/>
            <w:webHidden/>
          </w:rPr>
          <w:tab/>
        </w:r>
        <w:r>
          <w:rPr>
            <w:noProof/>
            <w:webHidden/>
          </w:rPr>
          <w:fldChar w:fldCharType="begin"/>
        </w:r>
        <w:r>
          <w:rPr>
            <w:noProof/>
            <w:webHidden/>
          </w:rPr>
          <w:instrText xml:space="preserve"> PAGEREF _Toc239881146 \h </w:instrText>
        </w:r>
        <w:r>
          <w:rPr>
            <w:noProof/>
            <w:webHidden/>
          </w:rPr>
        </w:r>
        <w:r>
          <w:rPr>
            <w:noProof/>
            <w:webHidden/>
          </w:rPr>
          <w:fldChar w:fldCharType="separate"/>
        </w:r>
        <w:r>
          <w:rPr>
            <w:noProof/>
            <w:webHidden/>
          </w:rPr>
          <w:t>32</w:t>
        </w:r>
        <w:r>
          <w:rPr>
            <w:noProof/>
            <w:webHidden/>
          </w:rPr>
          <w:fldChar w:fldCharType="end"/>
        </w:r>
      </w:hyperlink>
    </w:p>
    <w:p w14:paraId="380D1038" w14:textId="7C4AF594"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7" w:history="1">
        <w:r w:rsidRPr="000E4538">
          <w:rPr>
            <w:rStyle w:val="Hyperlink"/>
            <w:noProof/>
          </w:rPr>
          <w:t>7.  Timeline</w:t>
        </w:r>
        <w:r>
          <w:rPr>
            <w:noProof/>
            <w:webHidden/>
          </w:rPr>
          <w:tab/>
        </w:r>
        <w:r>
          <w:rPr>
            <w:noProof/>
            <w:webHidden/>
          </w:rPr>
          <w:fldChar w:fldCharType="begin"/>
        </w:r>
        <w:r>
          <w:rPr>
            <w:noProof/>
            <w:webHidden/>
          </w:rPr>
          <w:instrText xml:space="preserve"> PAGEREF _Toc239881147 \h </w:instrText>
        </w:r>
        <w:r>
          <w:rPr>
            <w:noProof/>
            <w:webHidden/>
          </w:rPr>
        </w:r>
        <w:r>
          <w:rPr>
            <w:noProof/>
            <w:webHidden/>
          </w:rPr>
          <w:fldChar w:fldCharType="separate"/>
        </w:r>
        <w:r>
          <w:rPr>
            <w:noProof/>
            <w:webHidden/>
          </w:rPr>
          <w:t>33</w:t>
        </w:r>
        <w:r>
          <w:rPr>
            <w:noProof/>
            <w:webHidden/>
          </w:rPr>
          <w:fldChar w:fldCharType="end"/>
        </w:r>
      </w:hyperlink>
    </w:p>
    <w:p w14:paraId="683413E0" w14:textId="678B1B77"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8" w:history="1">
        <w:r w:rsidRPr="000E4538">
          <w:rPr>
            <w:rStyle w:val="Hyperlink"/>
            <w:noProof/>
          </w:rPr>
          <w:t>8.  Budget</w:t>
        </w:r>
        <w:r>
          <w:rPr>
            <w:noProof/>
            <w:webHidden/>
          </w:rPr>
          <w:tab/>
        </w:r>
        <w:r>
          <w:rPr>
            <w:noProof/>
            <w:webHidden/>
          </w:rPr>
          <w:fldChar w:fldCharType="begin"/>
        </w:r>
        <w:r>
          <w:rPr>
            <w:noProof/>
            <w:webHidden/>
          </w:rPr>
          <w:instrText xml:space="preserve"> PAGEREF _Toc239881148 \h </w:instrText>
        </w:r>
        <w:r>
          <w:rPr>
            <w:noProof/>
            <w:webHidden/>
          </w:rPr>
        </w:r>
        <w:r>
          <w:rPr>
            <w:noProof/>
            <w:webHidden/>
          </w:rPr>
          <w:fldChar w:fldCharType="separate"/>
        </w:r>
        <w:r>
          <w:rPr>
            <w:noProof/>
            <w:webHidden/>
          </w:rPr>
          <w:t>35</w:t>
        </w:r>
        <w:r>
          <w:rPr>
            <w:noProof/>
            <w:webHidden/>
          </w:rPr>
          <w:fldChar w:fldCharType="end"/>
        </w:r>
      </w:hyperlink>
    </w:p>
    <w:p w14:paraId="30EB68EB" w14:textId="2798673D" w:rsidR="00F56855" w:rsidRDefault="00F56855">
      <w:pPr>
        <w:pStyle w:val="TOC1"/>
        <w:rPr>
          <w:rFonts w:asciiTheme="minorHAnsi" w:hAnsiTheme="minorHAnsi" w:cstheme="minorBidi"/>
          <w:b w:val="0"/>
          <w:bCs w:val="0"/>
          <w:noProof/>
          <w:color w:val="auto"/>
          <w:kern w:val="2"/>
          <w:sz w:val="24"/>
          <w:szCs w:val="24"/>
          <w14:ligatures w14:val="standardContextual"/>
        </w:rPr>
      </w:pPr>
      <w:hyperlink w:anchor="_Toc239881149" w:history="1">
        <w:r w:rsidRPr="000E4538">
          <w:rPr>
            <w:rStyle w:val="Hyperlink"/>
            <w:noProof/>
          </w:rPr>
          <w:t>9.  References</w:t>
        </w:r>
        <w:r>
          <w:rPr>
            <w:noProof/>
            <w:webHidden/>
          </w:rPr>
          <w:tab/>
        </w:r>
        <w:r>
          <w:rPr>
            <w:noProof/>
            <w:webHidden/>
          </w:rPr>
          <w:fldChar w:fldCharType="begin"/>
        </w:r>
        <w:r>
          <w:rPr>
            <w:noProof/>
            <w:webHidden/>
          </w:rPr>
          <w:instrText xml:space="preserve"> PAGEREF _Toc239881149 \h </w:instrText>
        </w:r>
        <w:r>
          <w:rPr>
            <w:noProof/>
            <w:webHidden/>
          </w:rPr>
        </w:r>
        <w:r>
          <w:rPr>
            <w:noProof/>
            <w:webHidden/>
          </w:rPr>
          <w:fldChar w:fldCharType="separate"/>
        </w:r>
        <w:r>
          <w:rPr>
            <w:noProof/>
            <w:webHidden/>
          </w:rPr>
          <w:t>36</w:t>
        </w:r>
        <w:r>
          <w:rPr>
            <w:noProof/>
            <w:webHidden/>
          </w:rPr>
          <w:fldChar w:fldCharType="end"/>
        </w:r>
      </w:hyperlink>
    </w:p>
    <w:p w14:paraId="3094723D" w14:textId="5224D277" w:rsidR="006E487A" w:rsidRDefault="00BA6D23">
      <w:r>
        <w:fldChar w:fldCharType="end"/>
      </w:r>
    </w:p>
    <w:p w14:paraId="49EF58B7" w14:textId="77777777" w:rsidR="006E487A" w:rsidRDefault="00BA6D23">
      <w:pPr>
        <w:pStyle w:val="Heading1"/>
      </w:pPr>
      <w:bookmarkStart w:id="1" w:name="_Toc239881107"/>
      <w:r>
        <w:t>Executive Summary</w:t>
      </w:r>
      <w:bookmarkEnd w:id="1"/>
    </w:p>
    <w:p w14:paraId="7E2B340D" w14:textId="77777777" w:rsidR="006E487A" w:rsidRDefault="00BA6D23">
      <w:r>
        <w:t>Between 2023 and 2026 major retailers restructured national fulfilment networks into regionalised, node-based architectures capable of sub-24-hour delivery. Each ZIP-code area enrolled in same-day service carries a $3–5M capital footprint, and the profitability of that footprint depends on three interacting quantities: genuinely incremental demand, spatial route density, and cannibalization of existing standard-shipping orders. Across the 5,200 ZIP-code areas in scope, that is $15.6–$26.0 billion of capital</w:t>
      </w:r>
      <w:r>
        <w:t xml:space="preserve"> allocation.</w:t>
      </w:r>
    </w:p>
    <w:p w14:paraId="5A78D32D" w14:textId="77777777" w:rsidR="006E487A" w:rsidRDefault="00BA6D23">
      <w:r>
        <w:t>Those decisions are made inside proprietary models. The public bears their consequences — property values, air quality, municipal budgets, and tax abatements granted to attract facilities — with no way to check the reasoning. Siting Atlas is an open, reproducible model of that decision, built entirely from public data.</w:t>
      </w:r>
    </w:p>
    <w:p w14:paraId="684A5A4F" w14:textId="77777777" w:rsidR="006E487A" w:rsidRDefault="00BA6D23">
      <w:r>
        <w:t>The system combines a discrete-time hazard model of service enablement at ZIP-code grain, a spatial synthetic-control estimator of cannibalization with an empirically estimated decay radius, a continuous-approximation cost model, and a portfolio optimiser that treats expansion as a bundle-selection problem rather than a ranking. A retrieval-augmented agent ingests unstructured competitor intelligence and re-parameterises the underlying estimators under six validation gates.</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F7760F0" w14:textId="77777777">
        <w:tc>
          <w:tcPr>
            <w:tcW w:w="9360" w:type="dxa"/>
            <w:shd w:val="clear" w:color="auto" w:fill="E7ECF3"/>
          </w:tcPr>
          <w:p w14:paraId="0777774C" w14:textId="77777777" w:rsidR="006E487A" w:rsidRDefault="00BA6D23">
            <w:pPr>
              <w:spacing w:after="40"/>
            </w:pPr>
            <w:r>
              <w:rPr>
                <w:b/>
                <w:color w:val="1A2B4A"/>
                <w:sz w:val="20"/>
              </w:rPr>
              <w:t>THE CENTRAL CLAIM</w:t>
            </w:r>
          </w:p>
          <w:p w14:paraId="0D2855FC" w14:textId="77777777" w:rsidR="006E487A" w:rsidRDefault="00BA6D23">
            <w:pPr>
              <w:spacing w:after="40"/>
            </w:pPr>
            <w:r>
              <w:rPr>
                <w:color w:val="1A2B4A"/>
              </w:rPr>
              <w:t>Two of those gates are new. Existing work on gated LLM writes protects data integrity — do not corrupt rows, do not leak records. We identify a distinct failure class, inferential integrity, in which a write satisfying every data-integrity gate nonetheless invalidates a downstream causal identification assumption, and we propose two gates that detect it.</w:t>
            </w:r>
          </w:p>
        </w:tc>
      </w:tr>
    </w:tbl>
    <w:p w14:paraId="01CEC077" w14:textId="77777777" w:rsidR="006E487A" w:rsidRDefault="006E487A">
      <w:pPr>
        <w:spacing w:after="40"/>
      </w:pPr>
    </w:p>
    <w:p w14:paraId="73BA5092" w14:textId="77777777" w:rsidR="006E487A" w:rsidRDefault="006E487A"/>
    <w:p w14:paraId="4DB1EBD9" w14:textId="77777777" w:rsidR="006E487A" w:rsidRDefault="00BA6D23">
      <w:r>
        <w:t>A second contribution is a number nobody has published: how much of a major operator's revealed siting behaviour is explainable from public data alone. A high figure is a result about the transparency of logistics decisions; a low figure is a result about their opacity, and tells regulators how much disclosure would be needed to close the gap.</w:t>
      </w:r>
    </w:p>
    <w:p w14:paraId="3DB1C983" w14:textId="77777777" w:rsidR="006E487A" w:rsidRDefault="00BA6D23">
      <w:r>
        <w:t>The deliverable is a deployed application answering, in dollars and in probabilities, the question every last-mile operator answers weekly — which areas should be activated next — and the question every city council facing an abatement request should ask but currently cannot: would they have built here anyway?</w:t>
      </w:r>
    </w:p>
    <w:p w14:paraId="688C6CB8" w14:textId="77777777" w:rsidR="006E487A" w:rsidRDefault="006E487A"/>
    <w:p w14:paraId="6E33CFA5" w14:textId="77777777" w:rsidR="006E487A" w:rsidRDefault="00BA6D23">
      <w:pPr>
        <w:pStyle w:val="Heading1"/>
      </w:pPr>
      <w:bookmarkStart w:id="2" w:name="_Toc239881108"/>
      <w:r>
        <w:t>1.  Introduction</w:t>
      </w:r>
      <w:bookmarkEnd w:id="2"/>
    </w:p>
    <w:p w14:paraId="54B1CFFF" w14:textId="77777777" w:rsidR="006E487A" w:rsidRDefault="00BA6D23">
      <w:pPr>
        <w:pStyle w:val="Heading2"/>
      </w:pPr>
      <w:bookmarkStart w:id="3" w:name="_Toc239881109"/>
      <w:r>
        <w:t>1.1  The last-mile paradigm shift</w:t>
      </w:r>
      <w:bookmarkEnd w:id="3"/>
    </w:p>
    <w:p w14:paraId="44854892" w14:textId="77777777" w:rsidR="006E487A" w:rsidRDefault="00BA6D23">
      <w:r>
        <w:t>National fulfilment centres that once shipped to any US address in 2–5 days are being complemented — and in dense metros replaced — by delivery stations, same-day distribution centres and oversize nodes positioned within thirty minutes of the average consumer. Amazon operated 175 US same-day-capable facilities in 2024 and committed to 200+ by the end of 2026 (Amazon 10-K, 2024). In June 2025 it announced over $4 billion to extend same-day and next-day service to more than 4,000 smaller cities, towns and rur</w:t>
      </w:r>
      <w:r>
        <w:t>al communities by the end of 2026. Walmart, Target and Costco have announced parallel expansions.</w:t>
      </w:r>
    </w:p>
    <w:p w14:paraId="483DE833" w14:textId="77777777" w:rsidR="006E487A" w:rsidRDefault="00BA6D23">
      <w:r>
        <w:t>The consumer-facing consequence is a delivery-speed race. The operator-facing consequence is a capital-allocation problem of unprecedented granularity: a wrong answer at ZIP-code level converts a $4M investment into a permanent operating loss. The public-facing consequence is that private siting decisions now reshape neighbourhoods faster than any public process can review them.</w:t>
      </w:r>
    </w:p>
    <w:p w14:paraId="0A01BA3B" w14:textId="77777777" w:rsidR="006E487A" w:rsidRDefault="00BA6D23">
      <w:pPr>
        <w:pStyle w:val="Heading2"/>
      </w:pPr>
      <w:bookmarkStart w:id="4" w:name="_Toc239881110"/>
      <w:r>
        <w:t>1.2  The analytical problem</w:t>
      </w:r>
      <w:bookmarkEnd w:id="4"/>
    </w:p>
    <w:p w14:paraId="7F522AC4" w14:textId="77777777" w:rsidR="006E487A" w:rsidRDefault="00BA6D23">
      <w:r>
        <w:t>Adding a ZIP Code Tabulation Area (ZCTA) to a same-day footprint is not a demand-forecasting problem. It is a joint estimation problem across three interacting quantities:</w:t>
      </w:r>
    </w:p>
    <w:p w14:paraId="0E3FB065" w14:textId="77777777" w:rsidR="006E487A" w:rsidRDefault="00BA6D23">
      <w:pPr>
        <w:pStyle w:val="ListBullet"/>
      </w:pPr>
      <w:r>
        <w:t>Incremental demand. What fraction of post-launch orders are genuinely new spend, and what fraction shifted tier from existing standard orders?</w:t>
      </w:r>
    </w:p>
    <w:p w14:paraId="3C5ECAAA" w14:textId="77777777" w:rsidR="006E487A" w:rsidRDefault="00BA6D23">
      <w:pPr>
        <w:pStyle w:val="ListBullet"/>
      </w:pPr>
      <w:r>
        <w:t>Route-density economics. Cost per delivered package falls with drop density (Daganzo, 1984). A ZCTA with weak density can be unprofitable even at high average order value.</w:t>
      </w:r>
    </w:p>
    <w:p w14:paraId="1B91A989" w14:textId="77777777" w:rsidR="006E487A" w:rsidRDefault="00BA6D23">
      <w:pPr>
        <w:pStyle w:val="ListBullet"/>
      </w:pPr>
      <w:r>
        <w:t>Cannibalization spillovers. Launching same-day in area A shifts behaviour in contiguous areas B and C — a violation of the Stable Unit Treatment Value Assumption that standard estimators cannot handle.</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7C01DEF1" w14:textId="77777777">
        <w:tc>
          <w:tcPr>
            <w:tcW w:w="9360" w:type="dxa"/>
            <w:shd w:val="clear" w:color="auto" w:fill="E7ECF3"/>
          </w:tcPr>
          <w:p w14:paraId="3E21B513" w14:textId="77777777" w:rsidR="006E487A" w:rsidRDefault="00BA6D23">
            <w:pPr>
              <w:spacing w:after="40"/>
            </w:pPr>
            <w:r>
              <w:rPr>
                <w:b/>
                <w:color w:val="1A2B4A"/>
                <w:sz w:val="20"/>
              </w:rPr>
              <w:t>AND A FOURTH, USUALLY MISSED</w:t>
            </w:r>
          </w:p>
          <w:p w14:paraId="2E2C7E9B" w14:textId="77777777" w:rsidR="006E487A" w:rsidRDefault="00BA6D23">
            <w:pPr>
              <w:spacing w:after="40"/>
            </w:pPr>
            <w:r>
              <w:rPr>
                <w:color w:val="1A2B4A"/>
              </w:rPr>
              <w:t>These decisions are not independent. Two adjacent areas that are each unprofitable alone can be jointly profitable when they share a delivery station and pool drop density. Expansion is therefore a portfolio-selection problem, not a ranking problem — see §5.6 and Figure 12.</w:t>
            </w:r>
          </w:p>
        </w:tc>
      </w:tr>
    </w:tbl>
    <w:p w14:paraId="6ED2AD32" w14:textId="77777777" w:rsidR="006E487A" w:rsidRDefault="006E487A">
      <w:pPr>
        <w:spacing w:after="40"/>
      </w:pPr>
    </w:p>
    <w:p w14:paraId="234B5BDD" w14:textId="77777777" w:rsidR="006E487A" w:rsidRDefault="006E487A"/>
    <w:p w14:paraId="1D0FFB23" w14:textId="77777777" w:rsidR="006E487A" w:rsidRDefault="00BA6D23">
      <w:pPr>
        <w:pStyle w:val="Heading2"/>
      </w:pPr>
      <w:bookmarkStart w:id="5" w:name="_Toc239881111"/>
      <w:r>
        <w:t>1.3  Why this matters now, and to whom</w:t>
      </w:r>
      <w:bookmarkEnd w:id="5"/>
    </w:p>
    <w:p w14:paraId="09223CFE" w14:textId="77777777" w:rsidR="006E487A" w:rsidRDefault="00BA6D23">
      <w:r>
        <w:t>Three forces make the problem urgent. First, unstructured competitor intelligence — press releases, permit filings — can now be integrated into quantitative pipelines at near zero marginal cost. Second, spatial causal inference has matured to the point where synthetic-control estimation runs on commodity hardware. Third, and least discussed, the regulatory environment has changed.</w:t>
      </w:r>
    </w:p>
    <w:p w14:paraId="018A967F" w14:textId="77777777" w:rsidR="006E487A" w:rsidRDefault="00BA6D23">
      <w:r>
        <w:t>The South Coast Air Quality Management District's Rule 2305 — the Warehouse Indirect Source Rule, adopted 2021 and approved by the US EPA — obliges warehouses at or above 100,000 square feet to earn emission-reduction points or pay mitigation fees, and other regions are considering equivalents. Air districts operating such rules need to forecast where warehouses will appear in order to plan mitigation capacity. Municipalities granting tax abatements to attract facilities need the counterfactual: would the o</w:t>
      </w:r>
      <w:r>
        <w:t>perator have built here anyway? Neither has an open model available.</w:t>
      </w:r>
    </w:p>
    <w:p w14:paraId="3CBC3EC8" w14:textId="77777777" w:rsidR="006E487A" w:rsidRDefault="00BA6D23">
      <w:pPr>
        <w:jc w:val="center"/>
      </w:pPr>
      <w:r>
        <w:rPr>
          <w:noProof/>
        </w:rPr>
        <w:drawing>
          <wp:inline distT="0" distB="0" distL="0" distR="0" wp14:anchorId="37202D9A" wp14:editId="68824A74">
            <wp:extent cx="5486400" cy="2917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png"/>
                    <pic:cNvPicPr/>
                  </pic:nvPicPr>
                  <pic:blipFill>
                    <a:blip r:embed="rId8"/>
                    <a:stretch>
                      <a:fillRect/>
                    </a:stretch>
                  </pic:blipFill>
                  <pic:spPr>
                    <a:xfrm>
                      <a:off x="0" y="0"/>
                      <a:ext cx="5486400" cy="2917983"/>
                    </a:xfrm>
                    <a:prstGeom prst="rect">
                      <a:avLst/>
                    </a:prstGeom>
                  </pic:spPr>
                </pic:pic>
              </a:graphicData>
            </a:graphic>
          </wp:inline>
        </w:drawing>
      </w:r>
    </w:p>
    <w:p w14:paraId="1CC164CA" w14:textId="77777777" w:rsidR="006E487A" w:rsidRDefault="00BA6D23">
      <w:r>
        <w:t>Figure 1.  Four user groups, each with a decision the model changes. The selection propensity in §4.5 is, read in the opposite direction, the tax-abatement counterfactual.</w:t>
      </w:r>
    </w:p>
    <w:p w14:paraId="42444810" w14:textId="77777777" w:rsidR="006E487A" w:rsidRDefault="00BA6D23">
      <w:pPr>
        <w:pStyle w:val="Heading2"/>
      </w:pPr>
      <w:bookmarkStart w:id="6" w:name="_Toc239881112"/>
      <w:r>
        <w:t>1.4  Research questions</w:t>
      </w:r>
      <w:bookmarkEnd w:id="6"/>
    </w:p>
    <w:p w14:paraId="508D6DDF" w14:textId="77777777" w:rsidR="006E487A" w:rsidRDefault="00BA6D23">
      <w:pPr>
        <w:pStyle w:val="ListBullet"/>
      </w:pPr>
      <w:r>
        <w:t>RQ1. Can a discrete-time hazard model trained on publicly available ZCTA covariates predict which areas an operator enables for same-day service, and when, at an out-of-time AUC of 0.80 or better on metros withheld from training?</w:t>
      </w:r>
    </w:p>
    <w:p w14:paraId="5CBCD89B" w14:textId="77777777" w:rsidR="006E487A" w:rsidRDefault="00BA6D23">
      <w:pPr>
        <w:pStyle w:val="ListBullet"/>
      </w:pPr>
      <w:r>
        <w:t>RQ2. Does event-driven revision of the spatial weight matrix materially change the estimated cannibalization coefficient, or are spatial causal estimates robust to such revision as LeSage and Pace (2014) argue?</w:t>
      </w:r>
    </w:p>
    <w:p w14:paraId="53CE8EEB" w14:textId="77777777" w:rsidR="006E487A" w:rsidRDefault="00BA6D23">
      <w:pPr>
        <w:pStyle w:val="ListBullet"/>
      </w:pPr>
      <w:r>
        <w:t>RQ3. Can validation gates be designed that detect when an agent-proposed write to an analytical warehouse preserves data integrity while invalidating a causal identification assumption?</w:t>
      </w:r>
    </w:p>
    <w:p w14:paraId="364DBAB1" w14:textId="77777777" w:rsidR="006E487A" w:rsidRDefault="00BA6D23">
      <w:pPr>
        <w:pStyle w:val="ListBullet"/>
      </w:pPr>
      <w:r>
        <w:t>RQ4. What share of a major operator's revealed siting behaviour is explainable from public data alone?</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43572460" w14:textId="77777777">
        <w:tc>
          <w:tcPr>
            <w:tcW w:w="9360" w:type="dxa"/>
            <w:shd w:val="clear" w:color="auto" w:fill="E7ECF3"/>
          </w:tcPr>
          <w:p w14:paraId="5EFFF2AA" w14:textId="77777777" w:rsidR="006E487A" w:rsidRDefault="00BA6D23">
            <w:pPr>
              <w:spacing w:after="40"/>
            </w:pPr>
            <w:r>
              <w:rPr>
                <w:b/>
                <w:color w:val="1A2B4A"/>
                <w:sz w:val="20"/>
              </w:rPr>
              <w:t>NOTE ON RQ2 — A PRE-REGISTERED TEST WITH TWO PUBLISHABLE OUTCOMES</w:t>
            </w:r>
          </w:p>
          <w:p w14:paraId="1C0D3FD9" w14:textId="77777777" w:rsidR="006E487A" w:rsidRDefault="00BA6D23">
            <w:pPr>
              <w:spacing w:after="40"/>
            </w:pPr>
            <w:r>
              <w:rPr>
                <w:color w:val="1A2B4A"/>
              </w:rPr>
              <w:t>If the coefficient moves materially, the result pushes back on a well-known robustness claim in spatial econometrics. If it does not, the result confirms that claim under a novel perturbation and reports an honest engineering finding: the mutable-W machinery is elegant but not decision-relevant. The prediction is recorded before the test is run.</w:t>
            </w:r>
          </w:p>
        </w:tc>
      </w:tr>
    </w:tbl>
    <w:p w14:paraId="011B47BA" w14:textId="77777777" w:rsidR="006E487A" w:rsidRDefault="006E487A">
      <w:pPr>
        <w:spacing w:after="40"/>
      </w:pPr>
    </w:p>
    <w:p w14:paraId="0E9B5DAD" w14:textId="77777777" w:rsidR="006E487A" w:rsidRDefault="006E487A"/>
    <w:p w14:paraId="796564AD" w14:textId="77777777" w:rsidR="006E487A" w:rsidRDefault="006E487A"/>
    <w:p w14:paraId="41D43A58" w14:textId="77777777" w:rsidR="006E487A" w:rsidRDefault="00BA6D23">
      <w:pPr>
        <w:pStyle w:val="Heading1"/>
      </w:pPr>
      <w:bookmarkStart w:id="7" w:name="_Toc239881113"/>
      <w:r>
        <w:t>2.  Related Work</w:t>
      </w:r>
      <w:bookmarkEnd w:id="7"/>
    </w:p>
    <w:p w14:paraId="05CF1D03" w14:textId="77777777" w:rsidR="006E487A" w:rsidRDefault="00BA6D23">
      <w:r>
        <w:t>This project intersects six research streams. For each we state the anchor literature and, explicitly, the delta between our work and the existing corpus. Two prior-art reviews inform this section: one over the published literature, and one over shipped commercial products. Both are reported, because a contribution that has not been checked against either is not a contribution.</w:t>
      </w:r>
    </w:p>
    <w:p w14:paraId="7598A3CD" w14:textId="77777777" w:rsidR="006E487A" w:rsidRDefault="00BA6D23">
      <w:pPr>
        <w:jc w:val="center"/>
      </w:pPr>
      <w:r>
        <w:rPr>
          <w:noProof/>
        </w:rPr>
        <w:drawing>
          <wp:inline distT="0" distB="0" distL="0" distR="0" wp14:anchorId="696F385A" wp14:editId="6AD1CA55">
            <wp:extent cx="5486400" cy="3000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9"/>
                    <a:stretch>
                      <a:fillRect/>
                    </a:stretch>
                  </pic:blipFill>
                  <pic:spPr>
                    <a:xfrm>
                      <a:off x="0" y="0"/>
                      <a:ext cx="5486400" cy="3000930"/>
                    </a:xfrm>
                    <a:prstGeom prst="rect">
                      <a:avLst/>
                    </a:prstGeom>
                  </pic:spPr>
                </pic:pic>
              </a:graphicData>
            </a:graphic>
          </wp:inline>
        </w:drawing>
      </w:r>
    </w:p>
    <w:p w14:paraId="7BD0D3A6" w14:textId="77777777" w:rsidR="006E487A" w:rsidRDefault="00BA6D23">
      <w:r>
        <w:t>Figure 2.  Novelty positioning after the literature and commercial prior-art checks. Left: what is already published and must be cited, not claimed. Right: what remains open.</w:t>
      </w:r>
    </w:p>
    <w:p w14:paraId="155481F7" w14:textId="77777777" w:rsidR="006E487A" w:rsidRDefault="00BA6D23">
      <w:pPr>
        <w:pStyle w:val="Heading2"/>
      </w:pPr>
      <w:bookmarkStart w:id="8" w:name="_Toc239881114"/>
      <w:r>
        <w:t>2.1  Spatial causal inference and interference</w:t>
      </w:r>
      <w:bookmarkEnd w:id="8"/>
    </w:p>
    <w:p w14:paraId="660AA18B" w14:textId="77777777" w:rsidR="006E487A" w:rsidRDefault="00BA6D23">
      <w:r>
        <w:t>The Synthetic Control Method was introduced by Abadie and Gardeazabal (2003) and formalised by Abadie, Diamond and Hainmueller (2010). It constructs a counterfactual for a treated unit as a convex combination of controls matched on pre-treatment outcomes. Its principal weakness in a logistics setting is the no-interference assumption: launching in area A materially affects adjacent areas B and C.</w:t>
      </w:r>
    </w:p>
    <w:p w14:paraId="40E42FE8" w14:textId="77777777" w:rsidR="006E487A" w:rsidRDefault="00BA6D23">
      <w:r>
        <w:t>That weakness is not unaddressed. Anselin (1988) and LeSage and Pace (2009) formalised spatial estimators that relax it via a weight matrix W. More recently, Pollmann (arXiv:2011.00373) gives a general treatment of causal inference for treatments applied at a location with effects decaying over distance, including distance-band estimation; and a body of work extends synthetic control directly to the spillover case (arXiv:2408.00291; arXiv:2411.01249; Reich et al., International Statistical Review).</w:t>
      </w:r>
    </w:p>
    <w:p w14:paraId="0D0EAC07" w14:textId="77777777" w:rsidR="006E487A" w:rsidRDefault="00BA6D23">
      <w:r>
        <w:t>Our delta.  We adopt Pollmann's distance-band estimator rather than proposing one. What we contribute is the parameter: the decay curve of same-day cannibalization has not, to our knowledge, been estimated or published, and we use the estimate to construct W instead of assuming binary contiguity.</w:t>
      </w:r>
    </w:p>
    <w:p w14:paraId="06EA4CBB" w14:textId="77777777" w:rsidR="006E487A" w:rsidRDefault="00BA6D23">
      <w:pPr>
        <w:pStyle w:val="Heading2"/>
      </w:pPr>
      <w:bookmarkStart w:id="9" w:name="_Toc239881115"/>
      <w:r>
        <w:t>2.2  Estimating the spatial weight matrix</w:t>
      </w:r>
      <w:bookmarkEnd w:id="9"/>
    </w:p>
    <w:p w14:paraId="658E60A6" w14:textId="77777777" w:rsidR="006E487A" w:rsidRDefault="00BA6D23">
      <w:r>
        <w:t>It is sometimes assumed that spatial econometrics treats W as fixed ex ante. It does not. Souza (2019), Krisztin and Piribauer (arXiv:2101.11938) and Political Analysis (2024) all estimate or select W from data, and LeSage and Pace (2014) argue prominently that results are less sensitive to the choice of W than practitioners assume. We therefore make no claim to novelty in relaxing the fixed-W assumption.</w:t>
      </w:r>
    </w:p>
    <w:p w14:paraId="221E9B6B" w14:textId="77777777" w:rsidR="006E487A" w:rsidRDefault="00BA6D23">
      <w:r>
        <w:t>Our delta.  Every estimator above recovers W from the same outcome panel used for inference — an in-sample statistical problem, solved once. We treat W instead as event-driven state, revised between estimation cycles from an exogenous text stream under validation gates. We make no claim to improve on those estimators, and we test empirically (RQ2) whether the revision changes anything at all.</w:t>
      </w:r>
    </w:p>
    <w:p w14:paraId="0B3D2CEB" w14:textId="77777777" w:rsidR="006E487A" w:rsidRDefault="00BA6D23">
      <w:pPr>
        <w:pStyle w:val="Heading2"/>
      </w:pPr>
      <w:bookmarkStart w:id="10" w:name="_Toc239881116"/>
      <w:r>
        <w:t>2.3  Routing and density economics</w:t>
      </w:r>
      <w:bookmarkEnd w:id="10"/>
    </w:p>
    <w:p w14:paraId="44F0ED11" w14:textId="77777777" w:rsidR="006E487A" w:rsidRDefault="00BA6D23">
      <w:r>
        <w:t>The continuous-approximation approach to vehicle routing originates with Beardwood, Halton and Hammersley (1959). Daganzo (1984) derived that per-stop distance in a uniform-density zone scales as the inverse square root of delivery density; Ansari et al. (2018) survey subsequent work. Luxen and Vetter (2011) introduced the Open Source Routing Machine, enabling exact drive-time computation on OpenStreetMap graphs.</w:t>
      </w:r>
    </w:p>
    <w:p w14:paraId="69C379C5" w14:textId="77777777" w:rsidR="006E487A" w:rsidRDefault="00BA6D23">
      <w:r>
        <w:t>Our delta.  We retain Daganzo's density law and instantiate the distance term from a precomputed drive-time matrix. The engineering contribution is negative and deliberate: the deployed system carries no routing dependency at all (§5.9).</w:t>
      </w:r>
    </w:p>
    <w:p w14:paraId="0B23572E" w14:textId="77777777" w:rsidR="006E487A" w:rsidRDefault="00BA6D23">
      <w:pPr>
        <w:pStyle w:val="Heading2"/>
      </w:pPr>
      <w:bookmarkStart w:id="11" w:name="_Toc239881117"/>
      <w:r>
        <w:t>2.4  Retail expansion and cannibalization</w:t>
      </w:r>
      <w:bookmarkEnd w:id="11"/>
    </w:p>
    <w:p w14:paraId="65D446AB" w14:textId="77777777" w:rsidR="006E487A" w:rsidRDefault="00BA6D23">
      <w:r>
        <w:t>This stream is the closest published analogue to our research question. Management Science has published structural analyses of exactly this problem — retail expansion and cannibalization in a dynamic environment (58(11), 2012) and demand expansion versus cannibalization from store entry (68(12), 2022) — alongside dynamic entry models of chain expansion (Caoui, Hollenbeck and Osborne).</w:t>
      </w:r>
    </w:p>
    <w:p w14:paraId="1BA7E87D" w14:textId="77777777" w:rsidR="006E487A" w:rsidRDefault="00BA6D23">
      <w:r>
        <w:t>Our delta.  Those studies use structural models on proprietary firm data at store grain, in a static information environment, and produce no runnable artifact. We use reduced-form spatial causal inference on public data at ZCTA grain, for a service-tier rather than a store-opening decision, and ship the tool.</w:t>
      </w:r>
    </w:p>
    <w:p w14:paraId="138EB923" w14:textId="77777777" w:rsidR="006E487A" w:rsidRDefault="00BA6D23">
      <w:pPr>
        <w:pStyle w:val="Heading2"/>
      </w:pPr>
      <w:bookmarkStart w:id="12" w:name="_Toc239881118"/>
      <w:r>
        <w:t>2.5  LLM agents that write to analytical systems</w:t>
      </w:r>
      <w:bookmarkEnd w:id="12"/>
    </w:p>
    <w:p w14:paraId="65613041" w14:textId="77777777" w:rsidR="006E487A" w:rsidRDefault="00BA6D23">
      <w:r>
        <w:t>Retrieval-augmented generation (Lewis et al., 2020) and the ReAct pattern (Yao et al., 2023) established the interleaving of reasoning and tool use; the Model Context Protocol (Anthropic, 2024) formalised a portable tool interface. Applications in analytics have converged on text-to-SQL agents that are almost universally read-only.</w:t>
      </w:r>
    </w:p>
    <w:p w14:paraId="5C8524D3" w14:textId="77777777" w:rsidR="006E487A" w:rsidRDefault="00BA6D23">
      <w:r>
        <w:t>Gated writes, however, are not unexplored. A survey of specification, verification and enforcement for safe LLM agents (arXiv:2608.14590), privacy-preserving alignment for natural language database interfaces (arXiv:2511.06778), text-to-SQL vulnerability analysis (arXiv:2211.15363) and shipped open-source write gates all address the pattern. We claim no novelty in gating an agent write.</w:t>
      </w:r>
    </w:p>
    <w:p w14:paraId="7AE28C1D" w14:textId="77777777" w:rsidR="006E487A" w:rsidRDefault="00BA6D23">
      <w:r>
        <w:t>Our delta.  All of that work protects data integrity: do not corrupt rows, do not leak records, do not drop tables. Our write target is not a data table but a parameter of a causal estimator, which creates a failure class the existing gates do not cover — a write that is schema-valid, correctly geocoded, high-confidence and fully logged, and that nonetheless invalidates a downstream identification assumption. We name this inferential integrity and propose two gates that detect it (§5.7).</w:t>
      </w:r>
    </w:p>
    <w:p w14:paraId="60263017" w14:textId="77777777" w:rsidR="006E487A" w:rsidRDefault="00BA6D23">
      <w:pPr>
        <w:pStyle w:val="Heading2"/>
      </w:pPr>
      <w:bookmarkStart w:id="13" w:name="_Toc239881119"/>
      <w:r>
        <w:t>2.6  Industry practice and the reproduction gap</w:t>
      </w:r>
      <w:bookmarkEnd w:id="13"/>
    </w:p>
    <w:p w14:paraId="340FD06D" w14:textId="77777777" w:rsidR="006E487A" w:rsidRDefault="00BA6D23">
      <w:r>
        <w:t>The definitive academic treatment of a large operator's fulfilment network is Houde, Newberry and Seim, 'Nexus Tax Laws and Economies of Density in E-Commerce: A Study of Amazon's Fulfillment Center Network' (Econometrica, 2023), which estimates a structural model of the firm's own entry decision using state sales-tax nexus variation. Schorung, Lecourt and Dablanc (2023) map the warehouse network geographically; the Journal of Policy Analysis and Management (2025) evaluates local economic impacts.</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42C83726" w14:textId="77777777">
        <w:trPr>
          <w:tblHeader/>
        </w:trPr>
        <w:tc>
          <w:tcPr>
            <w:tcW w:w="3120" w:type="dxa"/>
            <w:shd w:val="clear" w:color="auto" w:fill="1A2B4A"/>
            <w:vAlign w:val="center"/>
          </w:tcPr>
          <w:p w14:paraId="5DBBB8EB" w14:textId="77777777" w:rsidR="006E487A" w:rsidRDefault="00BA6D23">
            <w:pPr>
              <w:spacing w:after="40"/>
            </w:pPr>
            <w:r>
              <w:rPr>
                <w:b/>
                <w:color w:val="FFFFFF"/>
                <w:sz w:val="20"/>
              </w:rPr>
              <w:t>Dimension</w:t>
            </w:r>
          </w:p>
        </w:tc>
        <w:tc>
          <w:tcPr>
            <w:tcW w:w="3120" w:type="dxa"/>
            <w:shd w:val="clear" w:color="auto" w:fill="1A2B4A"/>
            <w:vAlign w:val="center"/>
          </w:tcPr>
          <w:p w14:paraId="05B1E89D" w14:textId="77777777" w:rsidR="006E487A" w:rsidRDefault="00BA6D23">
            <w:pPr>
              <w:spacing w:after="40"/>
            </w:pPr>
            <w:r>
              <w:rPr>
                <w:b/>
                <w:color w:val="FFFFFF"/>
                <w:sz w:val="20"/>
              </w:rPr>
              <w:t>Houde, Newberry &amp; Seim (2023)</w:t>
            </w:r>
          </w:p>
        </w:tc>
        <w:tc>
          <w:tcPr>
            <w:tcW w:w="3120" w:type="dxa"/>
            <w:shd w:val="clear" w:color="auto" w:fill="1A2B4A"/>
            <w:vAlign w:val="center"/>
          </w:tcPr>
          <w:p w14:paraId="15358F54" w14:textId="77777777" w:rsidR="006E487A" w:rsidRDefault="00BA6D23">
            <w:pPr>
              <w:spacing w:after="40"/>
            </w:pPr>
            <w:r>
              <w:rPr>
                <w:b/>
                <w:color w:val="FFFFFF"/>
                <w:sz w:val="20"/>
              </w:rPr>
              <w:t>Siting Atlas</w:t>
            </w:r>
          </w:p>
        </w:tc>
      </w:tr>
      <w:tr w:rsidR="006E487A" w14:paraId="2016AD6F" w14:textId="77777777">
        <w:tc>
          <w:tcPr>
            <w:tcW w:w="3120" w:type="dxa"/>
            <w:vAlign w:val="center"/>
          </w:tcPr>
          <w:p w14:paraId="15F87809" w14:textId="77777777" w:rsidR="006E487A" w:rsidRDefault="00BA6D23">
            <w:pPr>
              <w:spacing w:after="40"/>
            </w:pPr>
            <w:r>
              <w:rPr>
                <w:color w:val="1A2B4A"/>
                <w:sz w:val="20"/>
              </w:rPr>
              <w:t>Network tier</w:t>
            </w:r>
          </w:p>
        </w:tc>
        <w:tc>
          <w:tcPr>
            <w:tcW w:w="3120" w:type="dxa"/>
            <w:vAlign w:val="center"/>
          </w:tcPr>
          <w:p w14:paraId="7821B2D4" w14:textId="77777777" w:rsidR="006E487A" w:rsidRDefault="00BA6D23">
            <w:pPr>
              <w:spacing w:after="40"/>
            </w:pPr>
            <w:r>
              <w:rPr>
                <w:color w:val="1A2B4A"/>
                <w:sz w:val="20"/>
              </w:rPr>
              <w:t>2-day fulfilment centres</w:t>
            </w:r>
          </w:p>
        </w:tc>
        <w:tc>
          <w:tcPr>
            <w:tcW w:w="3120" w:type="dxa"/>
            <w:vAlign w:val="center"/>
          </w:tcPr>
          <w:p w14:paraId="3FD66CBF" w14:textId="77777777" w:rsidR="006E487A" w:rsidRDefault="00BA6D23">
            <w:pPr>
              <w:spacing w:after="40"/>
            </w:pPr>
            <w:r>
              <w:rPr>
                <w:color w:val="1A2B4A"/>
                <w:sz w:val="20"/>
              </w:rPr>
              <w:t>Sub-24-hour nodes (DS / SDC / oversize)</w:t>
            </w:r>
          </w:p>
        </w:tc>
      </w:tr>
      <w:tr w:rsidR="006E487A" w14:paraId="78B11AAC" w14:textId="77777777">
        <w:tc>
          <w:tcPr>
            <w:tcW w:w="3120" w:type="dxa"/>
            <w:vAlign w:val="center"/>
          </w:tcPr>
          <w:p w14:paraId="21085132" w14:textId="77777777" w:rsidR="006E487A" w:rsidRDefault="00BA6D23">
            <w:pPr>
              <w:spacing w:after="40"/>
            </w:pPr>
            <w:r>
              <w:rPr>
                <w:color w:val="1A2B4A"/>
                <w:sz w:val="20"/>
              </w:rPr>
              <w:t>Spatial grain</w:t>
            </w:r>
          </w:p>
        </w:tc>
        <w:tc>
          <w:tcPr>
            <w:tcW w:w="3120" w:type="dxa"/>
            <w:vAlign w:val="center"/>
          </w:tcPr>
          <w:p w14:paraId="571FA4C8" w14:textId="77777777" w:rsidR="006E487A" w:rsidRDefault="00BA6D23">
            <w:pPr>
              <w:spacing w:after="40"/>
            </w:pPr>
            <w:r>
              <w:rPr>
                <w:color w:val="1A2B4A"/>
                <w:sz w:val="20"/>
              </w:rPr>
              <w:t>State</w:t>
            </w:r>
          </w:p>
        </w:tc>
        <w:tc>
          <w:tcPr>
            <w:tcW w:w="3120" w:type="dxa"/>
            <w:vAlign w:val="center"/>
          </w:tcPr>
          <w:p w14:paraId="740180A4" w14:textId="77777777" w:rsidR="006E487A" w:rsidRDefault="00BA6D23">
            <w:pPr>
              <w:spacing w:after="40"/>
            </w:pPr>
            <w:r>
              <w:rPr>
                <w:color w:val="1A2B4A"/>
                <w:sz w:val="20"/>
              </w:rPr>
              <w:t>ZCTA (~5,200 modelled, 33,000 US)</w:t>
            </w:r>
          </w:p>
        </w:tc>
      </w:tr>
      <w:tr w:rsidR="006E487A" w14:paraId="583B0D05" w14:textId="77777777">
        <w:tc>
          <w:tcPr>
            <w:tcW w:w="3120" w:type="dxa"/>
            <w:vAlign w:val="center"/>
          </w:tcPr>
          <w:p w14:paraId="3D592581" w14:textId="77777777" w:rsidR="006E487A" w:rsidRDefault="00BA6D23">
            <w:pPr>
              <w:spacing w:after="40"/>
            </w:pPr>
            <w:r>
              <w:rPr>
                <w:color w:val="1A2B4A"/>
                <w:sz w:val="20"/>
              </w:rPr>
              <w:t>Period</w:t>
            </w:r>
          </w:p>
        </w:tc>
        <w:tc>
          <w:tcPr>
            <w:tcW w:w="3120" w:type="dxa"/>
            <w:vAlign w:val="center"/>
          </w:tcPr>
          <w:p w14:paraId="2000AACB" w14:textId="77777777" w:rsidR="006E487A" w:rsidRDefault="00BA6D23">
            <w:pPr>
              <w:spacing w:after="40"/>
            </w:pPr>
            <w:r>
              <w:rPr>
                <w:color w:val="1A2B4A"/>
                <w:sz w:val="20"/>
              </w:rPr>
              <w:t>Through ~2018, pre-regionalisation</w:t>
            </w:r>
          </w:p>
        </w:tc>
        <w:tc>
          <w:tcPr>
            <w:tcW w:w="3120" w:type="dxa"/>
            <w:vAlign w:val="center"/>
          </w:tcPr>
          <w:p w14:paraId="54A4FAEC" w14:textId="77777777" w:rsidR="006E487A" w:rsidRDefault="00BA6D23">
            <w:pPr>
              <w:spacing w:after="40"/>
            </w:pPr>
            <w:r>
              <w:rPr>
                <w:color w:val="1A2B4A"/>
                <w:sz w:val="20"/>
              </w:rPr>
              <w:t>2015–2026</w:t>
            </w:r>
          </w:p>
        </w:tc>
      </w:tr>
      <w:tr w:rsidR="006E487A" w14:paraId="5E2AD78D" w14:textId="77777777">
        <w:tc>
          <w:tcPr>
            <w:tcW w:w="3120" w:type="dxa"/>
            <w:vAlign w:val="center"/>
          </w:tcPr>
          <w:p w14:paraId="6C6F581F" w14:textId="77777777" w:rsidR="006E487A" w:rsidRDefault="00BA6D23">
            <w:pPr>
              <w:spacing w:after="40"/>
            </w:pPr>
            <w:r>
              <w:rPr>
                <w:color w:val="1A2B4A"/>
                <w:sz w:val="20"/>
              </w:rPr>
              <w:t>Data</w:t>
            </w:r>
          </w:p>
        </w:tc>
        <w:tc>
          <w:tcPr>
            <w:tcW w:w="3120" w:type="dxa"/>
            <w:vAlign w:val="center"/>
          </w:tcPr>
          <w:p w14:paraId="06949F44" w14:textId="77777777" w:rsidR="006E487A" w:rsidRDefault="00BA6D23">
            <w:pPr>
              <w:spacing w:after="40"/>
            </w:pPr>
            <w:r>
              <w:rPr>
                <w:color w:val="1A2B4A"/>
                <w:sz w:val="20"/>
              </w:rPr>
              <w:t>Proprietary and licensed</w:t>
            </w:r>
          </w:p>
        </w:tc>
        <w:tc>
          <w:tcPr>
            <w:tcW w:w="3120" w:type="dxa"/>
            <w:vAlign w:val="center"/>
          </w:tcPr>
          <w:p w14:paraId="0EAEACE0" w14:textId="77777777" w:rsidR="006E487A" w:rsidRDefault="00BA6D23">
            <w:pPr>
              <w:spacing w:after="40"/>
            </w:pPr>
            <w:r>
              <w:rPr>
                <w:color w:val="1A2B4A"/>
                <w:sz w:val="20"/>
              </w:rPr>
              <w:t>Entirely public</w:t>
            </w:r>
          </w:p>
        </w:tc>
      </w:tr>
      <w:tr w:rsidR="006E487A" w14:paraId="05725F8F" w14:textId="77777777">
        <w:tc>
          <w:tcPr>
            <w:tcW w:w="3120" w:type="dxa"/>
            <w:vAlign w:val="center"/>
          </w:tcPr>
          <w:p w14:paraId="2C9C35AF" w14:textId="77777777" w:rsidR="006E487A" w:rsidRDefault="00BA6D23">
            <w:pPr>
              <w:spacing w:after="40"/>
            </w:pPr>
            <w:r>
              <w:rPr>
                <w:color w:val="1A2B4A"/>
                <w:sz w:val="20"/>
              </w:rPr>
              <w:t>Identification</w:t>
            </w:r>
          </w:p>
        </w:tc>
        <w:tc>
          <w:tcPr>
            <w:tcW w:w="3120" w:type="dxa"/>
            <w:vAlign w:val="center"/>
          </w:tcPr>
          <w:p w14:paraId="7FC43EE8" w14:textId="77777777" w:rsidR="006E487A" w:rsidRDefault="00BA6D23">
            <w:pPr>
              <w:spacing w:after="40"/>
            </w:pPr>
            <w:r>
              <w:rPr>
                <w:color w:val="1A2B4A"/>
                <w:sz w:val="20"/>
              </w:rPr>
              <w:t>Sales-tax nexus variation</w:t>
            </w:r>
          </w:p>
        </w:tc>
        <w:tc>
          <w:tcPr>
            <w:tcW w:w="3120" w:type="dxa"/>
            <w:vAlign w:val="center"/>
          </w:tcPr>
          <w:p w14:paraId="26AE3D4C" w14:textId="77777777" w:rsidR="006E487A" w:rsidRDefault="00BA6D23">
            <w:pPr>
              <w:spacing w:after="40"/>
            </w:pPr>
            <w:r>
              <w:rPr>
                <w:color w:val="1A2B4A"/>
                <w:sz w:val="20"/>
              </w:rPr>
              <w:t>Selection correction + spatial synthetic control</w:t>
            </w:r>
          </w:p>
        </w:tc>
      </w:tr>
      <w:tr w:rsidR="006E487A" w14:paraId="0804D1A4" w14:textId="77777777">
        <w:tc>
          <w:tcPr>
            <w:tcW w:w="3120" w:type="dxa"/>
            <w:vAlign w:val="center"/>
          </w:tcPr>
          <w:p w14:paraId="0FC8A75A" w14:textId="77777777" w:rsidR="006E487A" w:rsidRDefault="00BA6D23">
            <w:pPr>
              <w:spacing w:after="40"/>
            </w:pPr>
            <w:r>
              <w:rPr>
                <w:color w:val="1A2B4A"/>
                <w:sz w:val="20"/>
              </w:rPr>
              <w:t>Environment</w:t>
            </w:r>
          </w:p>
        </w:tc>
        <w:tc>
          <w:tcPr>
            <w:tcW w:w="3120" w:type="dxa"/>
            <w:vAlign w:val="center"/>
          </w:tcPr>
          <w:p w14:paraId="1FC8D63A" w14:textId="77777777" w:rsidR="006E487A" w:rsidRDefault="00BA6D23">
            <w:pPr>
              <w:spacing w:after="40"/>
            </w:pPr>
            <w:r>
              <w:rPr>
                <w:color w:val="1A2B4A"/>
                <w:sz w:val="20"/>
              </w:rPr>
              <w:t>Static information</w:t>
            </w:r>
          </w:p>
        </w:tc>
        <w:tc>
          <w:tcPr>
            <w:tcW w:w="3120" w:type="dxa"/>
            <w:vAlign w:val="center"/>
          </w:tcPr>
          <w:p w14:paraId="76CF4130" w14:textId="77777777" w:rsidR="006E487A" w:rsidRDefault="00BA6D23">
            <w:pPr>
              <w:spacing w:after="40"/>
            </w:pPr>
            <w:r>
              <w:rPr>
                <w:color w:val="1A2B4A"/>
                <w:sz w:val="20"/>
              </w:rPr>
              <w:t>Event-driven state updates</w:t>
            </w:r>
          </w:p>
        </w:tc>
      </w:tr>
      <w:tr w:rsidR="006E487A" w14:paraId="2E52F58D" w14:textId="77777777">
        <w:tc>
          <w:tcPr>
            <w:tcW w:w="3120" w:type="dxa"/>
            <w:vAlign w:val="center"/>
          </w:tcPr>
          <w:p w14:paraId="3BEB3627" w14:textId="77777777" w:rsidR="006E487A" w:rsidRDefault="00BA6D23">
            <w:pPr>
              <w:spacing w:after="40"/>
            </w:pPr>
            <w:r>
              <w:rPr>
                <w:color w:val="1A2B4A"/>
                <w:sz w:val="20"/>
              </w:rPr>
              <w:t>Artifact</w:t>
            </w:r>
          </w:p>
        </w:tc>
        <w:tc>
          <w:tcPr>
            <w:tcW w:w="3120" w:type="dxa"/>
            <w:vAlign w:val="center"/>
          </w:tcPr>
          <w:p w14:paraId="49894B23" w14:textId="77777777" w:rsidR="006E487A" w:rsidRDefault="00BA6D23">
            <w:pPr>
              <w:spacing w:after="40"/>
            </w:pPr>
            <w:r>
              <w:rPr>
                <w:color w:val="1A2B4A"/>
                <w:sz w:val="20"/>
              </w:rPr>
              <w:t>None runnable by a third party</w:t>
            </w:r>
          </w:p>
        </w:tc>
        <w:tc>
          <w:tcPr>
            <w:tcW w:w="3120" w:type="dxa"/>
            <w:vAlign w:val="center"/>
          </w:tcPr>
          <w:p w14:paraId="331456CE" w14:textId="77777777" w:rsidR="006E487A" w:rsidRDefault="00BA6D23">
            <w:pPr>
              <w:spacing w:after="40"/>
            </w:pPr>
            <w:r>
              <w:rPr>
                <w:color w:val="1A2B4A"/>
                <w:sz w:val="20"/>
              </w:rPr>
              <w:t>Deployed, open, reproducible</w:t>
            </w:r>
          </w:p>
        </w:tc>
      </w:tr>
    </w:tbl>
    <w:p w14:paraId="3FA2FE76" w14:textId="77777777" w:rsidR="006E487A" w:rsidRDefault="006E487A">
      <w:pPr>
        <w:spacing w:after="40"/>
      </w:pPr>
    </w:p>
    <w:p w14:paraId="6B08BF58" w14:textId="77777777" w:rsidR="006E487A" w:rsidRDefault="006E487A"/>
    <w:p w14:paraId="49A181F0" w14:textId="77777777" w:rsidR="006E487A" w:rsidRDefault="00BA6D23">
      <w:r>
        <w:t>Commercial practice must be acknowledged with the same care as the literature. A capable market already sells siting analytics; the question for a research contribution is not whether the tools exist but what none of them does.</w:t>
      </w:r>
    </w:p>
    <w:p w14:paraId="5402AE7A" w14:textId="77777777" w:rsidR="006E487A" w:rsidRDefault="00BA6D23">
      <w:pPr>
        <w:jc w:val="center"/>
      </w:pPr>
      <w:r>
        <w:rPr>
          <w:noProof/>
        </w:rPr>
        <w:drawing>
          <wp:inline distT="0" distB="0" distL="0" distR="0" wp14:anchorId="0D4BFF77" wp14:editId="379430F4">
            <wp:extent cx="5486400" cy="3341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10"/>
                    <a:stretch>
                      <a:fillRect/>
                    </a:stretch>
                  </pic:blipFill>
                  <pic:spPr>
                    <a:xfrm>
                      <a:off x="0" y="0"/>
                      <a:ext cx="5486400" cy="3341257"/>
                    </a:xfrm>
                    <a:prstGeom prst="rect">
                      <a:avLst/>
                    </a:prstGeom>
                  </pic:spPr>
                </pic:pic>
              </a:graphicData>
            </a:graphic>
          </wp:inline>
        </w:drawing>
      </w:r>
    </w:p>
    <w:p w14:paraId="05EC5371" w14:textId="77777777" w:rsidR="006E487A" w:rsidRDefault="00BA6D23">
      <w:r>
        <w:t>Figure 3.  The market for siting analytics, and the gap that remains. Every technique here has a paywalled equivalent; what does not exist is a version anybody can check.</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EAE3FA0" w14:textId="77777777">
        <w:tc>
          <w:tcPr>
            <w:tcW w:w="9360" w:type="dxa"/>
            <w:shd w:val="clear" w:color="auto" w:fill="E7ECF3"/>
          </w:tcPr>
          <w:p w14:paraId="5649D6B6" w14:textId="77777777" w:rsidR="006E487A" w:rsidRDefault="00BA6D23">
            <w:pPr>
              <w:spacing w:after="40"/>
            </w:pPr>
            <w:r>
              <w:rPr>
                <w:b/>
                <w:color w:val="1A2B4A"/>
                <w:sz w:val="20"/>
              </w:rPr>
              <w:t>COMMERCIAL PRIOR ART — A DIFFERENT KIND OF PRIOR ART</w:t>
            </w:r>
          </w:p>
          <w:p w14:paraId="69BEFAF4" w14:textId="77777777" w:rsidR="006E487A" w:rsidRDefault="00BA6D23">
            <w:pPr>
              <w:spacing w:after="40"/>
            </w:pPr>
            <w:r>
              <w:rPr>
                <w:color w:val="1A2B4A"/>
              </w:rPr>
              <w:t>Esri ArcGIS Business Analyst ships a tool named Measure Cannibalization. Supply-chain network design software (Coupa, AIMMS, anyLogistix, Optilogic) has solved multi-facility location optimisation for two decades. Neither makes a claim in this proposal false; both make the words 'first' and 'novel' naive, and we avoid them throughout. The surviving distinction is methodological: commercial cannibalization tooling measures trade-area overlap, which is descriptive geometry, and answers 'how much do these area</w:t>
            </w:r>
            <w:r>
              <w:rPr>
                <w:color w:val="1A2B4A"/>
              </w:rPr>
              <w:t>s share?'. It does not answer 'what would volume in B have been had A never opened?' — there is no counterfactual, no donor pool and no standard error. Our estimate is causal.</w:t>
            </w:r>
          </w:p>
        </w:tc>
      </w:tr>
    </w:tbl>
    <w:p w14:paraId="5DCBC6EC" w14:textId="77777777" w:rsidR="006E487A" w:rsidRDefault="006E487A">
      <w:pPr>
        <w:spacing w:after="40"/>
      </w:pPr>
    </w:p>
    <w:p w14:paraId="6D9B37DA" w14:textId="77777777" w:rsidR="006E487A" w:rsidRDefault="006E487A"/>
    <w:p w14:paraId="76BAAA84" w14:textId="77777777" w:rsidR="006E487A" w:rsidRDefault="00BA6D23">
      <w:r>
        <w:t>What remains genuinely absent is a public one. No open, auditable, forward-looking model of a competitor's siting behaviour was found; the commercial-real-estate trade press tracks expansion after the fact. Throughout this proposal we therefore claim only that a result is not published in the open literature, or not available as a public reproducible artifact — statements that remain true regardless of what any vendor ships or any operator runs internally, because those systems are proprietary and cannot be</w:t>
      </w:r>
      <w:r>
        <w:t xml:space="preserve"> checked.</w:t>
      </w:r>
    </w:p>
    <w:p w14:paraId="722C81C3" w14:textId="77777777" w:rsidR="006E487A" w:rsidRDefault="006E487A"/>
    <w:p w14:paraId="307B00C4" w14:textId="77777777" w:rsidR="006E487A" w:rsidRDefault="00BA6D23">
      <w:pPr>
        <w:pStyle w:val="Heading1"/>
      </w:pPr>
      <w:bookmarkStart w:id="14" w:name="_Toc239881120"/>
      <w:r>
        <w:t>3.  Research Objectives</w:t>
      </w:r>
      <w:bookmarkEnd w:id="14"/>
    </w:p>
    <w:p w14:paraId="79D91A78" w14:textId="77777777" w:rsidR="006E487A" w:rsidRDefault="00BA6D23">
      <w:r>
        <w:t>Consistent with the identification discussion in §4.5, model output is interpreted as operator-consistent expansion desirability rather than objective demand. Because the outcome we model is observable, that framing is literally accurate rather than a hedge: the model predicts what the operator did, which is what we observe.</w:t>
      </w:r>
    </w:p>
    <w:p w14:paraId="18D96170" w14:textId="77777777" w:rsidR="006E487A" w:rsidRDefault="00BA6D23">
      <w:pPr>
        <w:pStyle w:val="Heading2"/>
      </w:pPr>
      <w:bookmarkStart w:id="15" w:name="_Toc239881121"/>
      <w:r>
        <w:t>Objective 1  —  Siting and timing model with a real backtest</w:t>
      </w:r>
      <w:bookmarkEnd w:id="15"/>
    </w:p>
    <w:p w14:paraId="667BB245" w14:textId="77777777" w:rsidR="006E487A" w:rsidRDefault="00BA6D23">
      <w:r>
        <w:t>Estimate, for each ZCTA and quarter, the probability that the operator enables same-day service, as a discrete-time hazard model over ACS demographics, TIGER/Line geography, Zillow property covariates, Census CBP retail density, a Huff-style gravity pull factor, and rate-of-change features derived from the monthly sources in §4.2. A zero-inflated negative binomial volume model and a LightGBM benchmark with SHAP attribution are retained as secondary analyses.</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5B48FA0A" w14:textId="77777777">
        <w:trPr>
          <w:tblHeader/>
        </w:trPr>
        <w:tc>
          <w:tcPr>
            <w:tcW w:w="3120" w:type="dxa"/>
            <w:shd w:val="clear" w:color="auto" w:fill="1A2B4A"/>
            <w:vAlign w:val="center"/>
          </w:tcPr>
          <w:p w14:paraId="3272DDD4" w14:textId="77777777" w:rsidR="006E487A" w:rsidRDefault="00BA6D23">
            <w:pPr>
              <w:spacing w:after="40"/>
            </w:pPr>
            <w:r>
              <w:rPr>
                <w:b/>
                <w:color w:val="FFFFFF"/>
                <w:sz w:val="20"/>
              </w:rPr>
              <w:t>Metric</w:t>
            </w:r>
          </w:p>
        </w:tc>
        <w:tc>
          <w:tcPr>
            <w:tcW w:w="3120" w:type="dxa"/>
            <w:shd w:val="clear" w:color="auto" w:fill="1A2B4A"/>
            <w:vAlign w:val="center"/>
          </w:tcPr>
          <w:p w14:paraId="7BB4E2E8" w14:textId="77777777" w:rsidR="006E487A" w:rsidRDefault="00BA6D23">
            <w:pPr>
              <w:spacing w:after="40"/>
            </w:pPr>
            <w:r>
              <w:rPr>
                <w:b/>
                <w:color w:val="FFFFFF"/>
                <w:sz w:val="20"/>
              </w:rPr>
              <w:t>Target</w:t>
            </w:r>
          </w:p>
        </w:tc>
        <w:tc>
          <w:tcPr>
            <w:tcW w:w="3120" w:type="dxa"/>
            <w:shd w:val="clear" w:color="auto" w:fill="1A2B4A"/>
            <w:vAlign w:val="center"/>
          </w:tcPr>
          <w:p w14:paraId="6571D6C4" w14:textId="77777777" w:rsidR="006E487A" w:rsidRDefault="00BA6D23">
            <w:pPr>
              <w:spacing w:after="40"/>
            </w:pPr>
            <w:r>
              <w:rPr>
                <w:b/>
                <w:color w:val="FFFFFF"/>
                <w:sz w:val="20"/>
              </w:rPr>
              <w:t>Why this metric</w:t>
            </w:r>
          </w:p>
        </w:tc>
      </w:tr>
      <w:tr w:rsidR="006E487A" w14:paraId="7A4D126F" w14:textId="77777777">
        <w:tc>
          <w:tcPr>
            <w:tcW w:w="3120" w:type="dxa"/>
            <w:vAlign w:val="center"/>
          </w:tcPr>
          <w:p w14:paraId="19AD2D7F" w14:textId="77777777" w:rsidR="006E487A" w:rsidRDefault="00BA6D23">
            <w:pPr>
              <w:spacing w:after="40"/>
            </w:pPr>
            <w:r>
              <w:rPr>
                <w:color w:val="1A2B4A"/>
                <w:sz w:val="20"/>
              </w:rPr>
              <w:t>AUC-ROC, out-of-time</w:t>
            </w:r>
          </w:p>
        </w:tc>
        <w:tc>
          <w:tcPr>
            <w:tcW w:w="3120" w:type="dxa"/>
            <w:vAlign w:val="center"/>
          </w:tcPr>
          <w:p w14:paraId="23B72F24" w14:textId="77777777" w:rsidR="006E487A" w:rsidRDefault="00BA6D23">
            <w:pPr>
              <w:spacing w:after="40"/>
            </w:pPr>
            <w:r>
              <w:rPr>
                <w:color w:val="1A2B4A"/>
                <w:sz w:val="20"/>
              </w:rPr>
              <w:t>≥ 0.80</w:t>
            </w:r>
          </w:p>
        </w:tc>
        <w:tc>
          <w:tcPr>
            <w:tcW w:w="3120" w:type="dxa"/>
            <w:vAlign w:val="center"/>
          </w:tcPr>
          <w:p w14:paraId="45982EED" w14:textId="77777777" w:rsidR="006E487A" w:rsidRDefault="00BA6D23">
            <w:pPr>
              <w:spacing w:after="40"/>
            </w:pPr>
            <w:r>
              <w:rPr>
                <w:color w:val="1A2B4A"/>
                <w:sz w:val="20"/>
              </w:rPr>
              <w:t>Rank quality on a forecast that was actually scored</w:t>
            </w:r>
          </w:p>
        </w:tc>
      </w:tr>
      <w:tr w:rsidR="006E487A" w14:paraId="4A4605E8" w14:textId="77777777">
        <w:tc>
          <w:tcPr>
            <w:tcW w:w="3120" w:type="dxa"/>
            <w:vAlign w:val="center"/>
          </w:tcPr>
          <w:p w14:paraId="79C93271" w14:textId="77777777" w:rsidR="006E487A" w:rsidRDefault="00BA6D23">
            <w:pPr>
              <w:spacing w:after="40"/>
            </w:pPr>
            <w:r>
              <w:rPr>
                <w:color w:val="1A2B4A"/>
                <w:sz w:val="20"/>
              </w:rPr>
              <w:t>PR-AUC</w:t>
            </w:r>
          </w:p>
        </w:tc>
        <w:tc>
          <w:tcPr>
            <w:tcW w:w="3120" w:type="dxa"/>
            <w:vAlign w:val="center"/>
          </w:tcPr>
          <w:p w14:paraId="36A11EA6" w14:textId="77777777" w:rsidR="006E487A" w:rsidRDefault="00BA6D23">
            <w:pPr>
              <w:spacing w:after="40"/>
            </w:pPr>
            <w:r>
              <w:rPr>
                <w:color w:val="1A2B4A"/>
                <w:sz w:val="20"/>
              </w:rPr>
              <w:t>Well above base rate (~0.06)</w:t>
            </w:r>
          </w:p>
        </w:tc>
        <w:tc>
          <w:tcPr>
            <w:tcW w:w="3120" w:type="dxa"/>
            <w:vAlign w:val="center"/>
          </w:tcPr>
          <w:p w14:paraId="5E219B0C" w14:textId="77777777" w:rsidR="006E487A" w:rsidRDefault="00BA6D23">
            <w:pPr>
              <w:spacing w:after="40"/>
            </w:pPr>
            <w:r>
              <w:rPr>
                <w:color w:val="1A2B4A"/>
                <w:sz w:val="20"/>
              </w:rPr>
              <w:t>The positive class is rare; ROC alone flatters it</w:t>
            </w:r>
          </w:p>
        </w:tc>
      </w:tr>
      <w:tr w:rsidR="006E487A" w14:paraId="37149D9F" w14:textId="77777777">
        <w:tc>
          <w:tcPr>
            <w:tcW w:w="3120" w:type="dxa"/>
            <w:vAlign w:val="center"/>
          </w:tcPr>
          <w:p w14:paraId="7B5D7A5B" w14:textId="77777777" w:rsidR="006E487A" w:rsidRDefault="00BA6D23">
            <w:pPr>
              <w:spacing w:after="40"/>
            </w:pPr>
            <w:r>
              <w:rPr>
                <w:color w:val="1A2B4A"/>
                <w:sz w:val="20"/>
              </w:rPr>
              <w:t>Brier score</w:t>
            </w:r>
          </w:p>
        </w:tc>
        <w:tc>
          <w:tcPr>
            <w:tcW w:w="3120" w:type="dxa"/>
            <w:vAlign w:val="center"/>
          </w:tcPr>
          <w:p w14:paraId="4C2BF689" w14:textId="77777777" w:rsidR="006E487A" w:rsidRDefault="00BA6D23">
            <w:pPr>
              <w:spacing w:after="40"/>
            </w:pPr>
            <w:r>
              <w:rPr>
                <w:color w:val="1A2B4A"/>
                <w:sz w:val="20"/>
              </w:rPr>
              <w:t>≤ 0.06</w:t>
            </w:r>
          </w:p>
        </w:tc>
        <w:tc>
          <w:tcPr>
            <w:tcW w:w="3120" w:type="dxa"/>
            <w:vAlign w:val="center"/>
          </w:tcPr>
          <w:p w14:paraId="4D9DBAD0" w14:textId="77777777" w:rsidR="006E487A" w:rsidRDefault="00BA6D23">
            <w:pPr>
              <w:spacing w:after="40"/>
            </w:pPr>
            <w:r>
              <w:rPr>
                <w:color w:val="1A2B4A"/>
                <w:sz w:val="20"/>
              </w:rPr>
              <w:t>Combines calibration and sharpness</w:t>
            </w:r>
          </w:p>
        </w:tc>
      </w:tr>
      <w:tr w:rsidR="006E487A" w14:paraId="4F942E6B" w14:textId="77777777">
        <w:tc>
          <w:tcPr>
            <w:tcW w:w="3120" w:type="dxa"/>
            <w:vAlign w:val="center"/>
          </w:tcPr>
          <w:p w14:paraId="2CEFB15B" w14:textId="77777777" w:rsidR="006E487A" w:rsidRDefault="00BA6D23">
            <w:pPr>
              <w:spacing w:after="40"/>
            </w:pPr>
            <w:r>
              <w:rPr>
                <w:color w:val="1A2B4A"/>
                <w:sz w:val="20"/>
              </w:rPr>
              <w:t>Expected calibration error</w:t>
            </w:r>
          </w:p>
        </w:tc>
        <w:tc>
          <w:tcPr>
            <w:tcW w:w="3120" w:type="dxa"/>
            <w:vAlign w:val="center"/>
          </w:tcPr>
          <w:p w14:paraId="0273CCAD" w14:textId="77777777" w:rsidR="006E487A" w:rsidRDefault="00BA6D23">
            <w:pPr>
              <w:spacing w:after="40"/>
            </w:pPr>
            <w:r>
              <w:rPr>
                <w:color w:val="1A2B4A"/>
                <w:sz w:val="20"/>
              </w:rPr>
              <w:t>&lt; 0.05</w:t>
            </w:r>
          </w:p>
        </w:tc>
        <w:tc>
          <w:tcPr>
            <w:tcW w:w="3120" w:type="dxa"/>
            <w:vAlign w:val="center"/>
          </w:tcPr>
          <w:p w14:paraId="2F7FA971" w14:textId="77777777" w:rsidR="006E487A" w:rsidRDefault="00BA6D23">
            <w:pPr>
              <w:spacing w:after="40"/>
            </w:pPr>
            <w:r>
              <w:rPr>
                <w:color w:val="1A2B4A"/>
                <w:sz w:val="20"/>
              </w:rPr>
              <w:t>A stated 60% probability should occur ~60% of the time</w:t>
            </w:r>
          </w:p>
        </w:tc>
      </w:tr>
      <w:tr w:rsidR="006E487A" w14:paraId="682EAABF" w14:textId="77777777">
        <w:tc>
          <w:tcPr>
            <w:tcW w:w="3120" w:type="dxa"/>
            <w:vAlign w:val="center"/>
          </w:tcPr>
          <w:p w14:paraId="02C58B9A" w14:textId="77777777" w:rsidR="006E487A" w:rsidRDefault="00BA6D23">
            <w:pPr>
              <w:spacing w:after="40"/>
            </w:pPr>
            <w:r>
              <w:rPr>
                <w:color w:val="1A2B4A"/>
                <w:sz w:val="20"/>
              </w:rPr>
              <w:t>precision@100</w:t>
            </w:r>
          </w:p>
        </w:tc>
        <w:tc>
          <w:tcPr>
            <w:tcW w:w="3120" w:type="dxa"/>
            <w:vAlign w:val="center"/>
          </w:tcPr>
          <w:p w14:paraId="6F89466B" w14:textId="77777777" w:rsidR="006E487A" w:rsidRDefault="00BA6D23">
            <w:pPr>
              <w:spacing w:after="40"/>
            </w:pPr>
            <w:r>
              <w:rPr>
                <w:color w:val="1A2B4A"/>
                <w:sz w:val="20"/>
              </w:rPr>
              <w:t>≥ 0.60</w:t>
            </w:r>
          </w:p>
        </w:tc>
        <w:tc>
          <w:tcPr>
            <w:tcW w:w="3120" w:type="dxa"/>
            <w:vAlign w:val="center"/>
          </w:tcPr>
          <w:p w14:paraId="005F6EEA" w14:textId="77777777" w:rsidR="006E487A" w:rsidRDefault="00BA6D23">
            <w:pPr>
              <w:spacing w:after="40"/>
            </w:pPr>
            <w:r>
              <w:rPr>
                <w:color w:val="1A2B4A"/>
                <w:sz w:val="20"/>
              </w:rPr>
              <w:t>The decision is a shortlist, so shortlist quality is the test</w:t>
            </w:r>
          </w:p>
        </w:tc>
      </w:tr>
      <w:tr w:rsidR="006E487A" w14:paraId="6DE13173" w14:textId="77777777">
        <w:tc>
          <w:tcPr>
            <w:tcW w:w="3120" w:type="dxa"/>
            <w:vAlign w:val="center"/>
          </w:tcPr>
          <w:p w14:paraId="615953E0" w14:textId="77777777" w:rsidR="006E487A" w:rsidRDefault="00BA6D23">
            <w:pPr>
              <w:spacing w:after="40"/>
            </w:pPr>
            <w:r>
              <w:rPr>
                <w:color w:val="1A2B4A"/>
                <w:sz w:val="20"/>
              </w:rPr>
              <w:t>Conformal interval coverage</w:t>
            </w:r>
          </w:p>
        </w:tc>
        <w:tc>
          <w:tcPr>
            <w:tcW w:w="3120" w:type="dxa"/>
            <w:vAlign w:val="center"/>
          </w:tcPr>
          <w:p w14:paraId="3AF3B595" w14:textId="77777777" w:rsidR="006E487A" w:rsidRDefault="00BA6D23">
            <w:pPr>
              <w:spacing w:after="40"/>
            </w:pPr>
            <w:r>
              <w:rPr>
                <w:color w:val="1A2B4A"/>
                <w:sz w:val="20"/>
              </w:rPr>
              <w:t>Within 2pp of nominal</w:t>
            </w:r>
          </w:p>
        </w:tc>
        <w:tc>
          <w:tcPr>
            <w:tcW w:w="3120" w:type="dxa"/>
            <w:vAlign w:val="center"/>
          </w:tcPr>
          <w:p w14:paraId="3289DC9D" w14:textId="77777777" w:rsidR="006E487A" w:rsidRDefault="00BA6D23">
            <w:pPr>
              <w:spacing w:after="40"/>
            </w:pPr>
            <w:r>
              <w:rPr>
                <w:color w:val="1A2B4A"/>
                <w:sz w:val="20"/>
              </w:rPr>
              <w:t>Distribution-free and empirically verified, not assumed</w:t>
            </w:r>
          </w:p>
        </w:tc>
      </w:tr>
      <w:tr w:rsidR="006E487A" w14:paraId="0D412865" w14:textId="77777777">
        <w:tc>
          <w:tcPr>
            <w:tcW w:w="3120" w:type="dxa"/>
            <w:vAlign w:val="center"/>
          </w:tcPr>
          <w:p w14:paraId="7332EE61" w14:textId="77777777" w:rsidR="006E487A" w:rsidRDefault="00BA6D23">
            <w:pPr>
              <w:spacing w:after="40"/>
            </w:pPr>
            <w:r>
              <w:rPr>
                <w:color w:val="1A2B4A"/>
                <w:sz w:val="20"/>
              </w:rPr>
              <w:t>Spearman vs LightGBM, top decile</w:t>
            </w:r>
          </w:p>
        </w:tc>
        <w:tc>
          <w:tcPr>
            <w:tcW w:w="3120" w:type="dxa"/>
            <w:vAlign w:val="center"/>
          </w:tcPr>
          <w:p w14:paraId="03EFE4C5" w14:textId="77777777" w:rsidR="006E487A" w:rsidRDefault="00BA6D23">
            <w:pPr>
              <w:spacing w:after="40"/>
            </w:pPr>
            <w:r>
              <w:rPr>
                <w:color w:val="1A2B4A"/>
                <w:sz w:val="20"/>
              </w:rPr>
              <w:t>≥ 0.80 (bootstrap CI)</w:t>
            </w:r>
          </w:p>
        </w:tc>
        <w:tc>
          <w:tcPr>
            <w:tcW w:w="3120" w:type="dxa"/>
            <w:vAlign w:val="center"/>
          </w:tcPr>
          <w:p w14:paraId="252811D7" w14:textId="77777777" w:rsidR="006E487A" w:rsidRDefault="00BA6D23">
            <w:pPr>
              <w:spacing w:after="40"/>
            </w:pPr>
            <w:r>
              <w:rPr>
                <w:color w:val="1A2B4A"/>
                <w:sz w:val="20"/>
              </w:rPr>
              <w:t>Convergent validity across two structurally different models</w:t>
            </w:r>
          </w:p>
        </w:tc>
      </w:tr>
      <w:tr w:rsidR="006E487A" w14:paraId="6F0ED646" w14:textId="77777777">
        <w:tc>
          <w:tcPr>
            <w:tcW w:w="3120" w:type="dxa"/>
            <w:vAlign w:val="center"/>
          </w:tcPr>
          <w:p w14:paraId="17B76284" w14:textId="77777777" w:rsidR="006E487A" w:rsidRDefault="00BA6D23">
            <w:pPr>
              <w:spacing w:after="40"/>
            </w:pPr>
            <w:r>
              <w:rPr>
                <w:color w:val="1A2B4A"/>
                <w:sz w:val="20"/>
              </w:rPr>
              <w:t>AUC under simulated label noise</w:t>
            </w:r>
          </w:p>
        </w:tc>
        <w:tc>
          <w:tcPr>
            <w:tcW w:w="3120" w:type="dxa"/>
            <w:vAlign w:val="center"/>
          </w:tcPr>
          <w:p w14:paraId="714B21CA" w14:textId="77777777" w:rsidR="006E487A" w:rsidRDefault="00BA6D23">
            <w:pPr>
              <w:spacing w:after="40"/>
            </w:pPr>
            <w:r>
              <w:rPr>
                <w:color w:val="1A2B4A"/>
                <w:sz w:val="20"/>
              </w:rPr>
              <w:t>≥ 0.78 at 15% date error</w:t>
            </w:r>
          </w:p>
        </w:tc>
        <w:tc>
          <w:tcPr>
            <w:tcW w:w="3120" w:type="dxa"/>
            <w:vAlign w:val="center"/>
          </w:tcPr>
          <w:p w14:paraId="6A5C394B" w14:textId="77777777" w:rsidR="006E487A" w:rsidRDefault="00BA6D23">
            <w:pPr>
              <w:spacing w:after="40"/>
            </w:pPr>
            <w:r>
              <w:rPr>
                <w:color w:val="1A2B4A"/>
                <w:sz w:val="20"/>
              </w:rPr>
              <w:t>Bounds the effect of target-variable measurement error (§4.3)</w:t>
            </w:r>
          </w:p>
        </w:tc>
      </w:tr>
      <w:tr w:rsidR="006E487A" w14:paraId="3F4504A0" w14:textId="77777777">
        <w:tc>
          <w:tcPr>
            <w:tcW w:w="3120" w:type="dxa"/>
            <w:vAlign w:val="center"/>
          </w:tcPr>
          <w:p w14:paraId="273F2814" w14:textId="77777777" w:rsidR="006E487A" w:rsidRDefault="00BA6D23">
            <w:pPr>
              <w:spacing w:after="40"/>
            </w:pPr>
            <w:r>
              <w:rPr>
                <w:color w:val="1A2B4A"/>
                <w:sz w:val="20"/>
              </w:rPr>
              <w:t>Top-100 overlap, H3 vs ZCTA grain</w:t>
            </w:r>
          </w:p>
        </w:tc>
        <w:tc>
          <w:tcPr>
            <w:tcW w:w="3120" w:type="dxa"/>
            <w:vAlign w:val="center"/>
          </w:tcPr>
          <w:p w14:paraId="3CF1496E" w14:textId="77777777" w:rsidR="006E487A" w:rsidRDefault="00BA6D23">
            <w:pPr>
              <w:spacing w:after="40"/>
            </w:pPr>
            <w:r>
              <w:rPr>
                <w:color w:val="1A2B4A"/>
                <w:sz w:val="20"/>
              </w:rPr>
              <w:t>≥ 0.70</w:t>
            </w:r>
          </w:p>
        </w:tc>
        <w:tc>
          <w:tcPr>
            <w:tcW w:w="3120" w:type="dxa"/>
            <w:vAlign w:val="center"/>
          </w:tcPr>
          <w:p w14:paraId="0F9AC35A" w14:textId="77777777" w:rsidR="006E487A" w:rsidRDefault="00BA6D23">
            <w:pPr>
              <w:spacing w:after="40"/>
            </w:pPr>
            <w:r>
              <w:rPr>
                <w:color w:val="1A2B4A"/>
                <w:sz w:val="20"/>
              </w:rPr>
              <w:t>Shows the ranking is not an artefact of the spatial partition</w:t>
            </w:r>
          </w:p>
        </w:tc>
      </w:tr>
    </w:tbl>
    <w:p w14:paraId="55CF390D" w14:textId="77777777" w:rsidR="006E487A" w:rsidRDefault="006E487A">
      <w:pPr>
        <w:spacing w:after="40"/>
      </w:pPr>
    </w:p>
    <w:p w14:paraId="09CC9A24" w14:textId="77777777" w:rsidR="006E487A" w:rsidRDefault="006E487A"/>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0FDB05EC" w14:textId="77777777">
        <w:tc>
          <w:tcPr>
            <w:tcW w:w="9360" w:type="dxa"/>
            <w:shd w:val="clear" w:color="auto" w:fill="E7ECF3"/>
          </w:tcPr>
          <w:p w14:paraId="09421892" w14:textId="77777777" w:rsidR="006E487A" w:rsidRDefault="00BA6D23">
            <w:pPr>
              <w:spacing w:after="40"/>
            </w:pPr>
            <w:r>
              <w:rPr>
                <w:b/>
                <w:color w:val="1A2B4A"/>
                <w:sz w:val="20"/>
              </w:rPr>
              <w:t>WHY NOT MAPE</w:t>
            </w:r>
          </w:p>
          <w:p w14:paraId="47B54313" w14:textId="77777777" w:rsidR="006E487A" w:rsidRDefault="00BA6D23">
            <w:pPr>
              <w:spacing w:after="40"/>
            </w:pPr>
            <w:r>
              <w:rPr>
                <w:color w:val="1A2B4A"/>
              </w:rPr>
              <w:t>MAPE divides by the actual value and is undefined wherever that value is zero — and the premise of the demand model is that many areas are structural zeros. It also would have been computed against a target constructed from its own predictors (§4.2). Hyndman and Koehler (2006) is the standard reference for why percentage errors fail on such data.</w:t>
            </w:r>
          </w:p>
        </w:tc>
      </w:tr>
    </w:tbl>
    <w:p w14:paraId="607EF64A" w14:textId="77777777" w:rsidR="006E487A" w:rsidRDefault="006E487A">
      <w:pPr>
        <w:spacing w:after="40"/>
      </w:pPr>
    </w:p>
    <w:p w14:paraId="01BB60A2" w14:textId="77777777" w:rsidR="006E487A" w:rsidRDefault="006E487A"/>
    <w:p w14:paraId="0C76E1F9" w14:textId="77777777" w:rsidR="006E487A" w:rsidRDefault="00BA6D23">
      <w:r>
        <w:t>Validation is out-of-time, not merely out-of-sample: the model is trained on facilities open through 2023 and scored against openings observed in 2024–2025. Two metros are additionally withheld from training entirely. If the criteria are not met, the failure is reported; the validation set is not used for retraining.</w:t>
      </w:r>
    </w:p>
    <w:p w14:paraId="47C7CD00" w14:textId="77777777" w:rsidR="006E487A" w:rsidRDefault="00BA6D23">
      <w:pPr>
        <w:jc w:val="center"/>
      </w:pPr>
      <w:r>
        <w:rPr>
          <w:noProof/>
        </w:rPr>
        <w:drawing>
          <wp:inline distT="0" distB="0" distL="0" distR="0" wp14:anchorId="4B26C75F" wp14:editId="29BB7356">
            <wp:extent cx="5486400" cy="2518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png"/>
                    <pic:cNvPicPr/>
                  </pic:nvPicPr>
                  <pic:blipFill>
                    <a:blip r:embed="rId11"/>
                    <a:stretch>
                      <a:fillRect/>
                    </a:stretch>
                  </pic:blipFill>
                  <pic:spPr>
                    <a:xfrm>
                      <a:off x="0" y="0"/>
                      <a:ext cx="5486400" cy="2518768"/>
                    </a:xfrm>
                    <a:prstGeom prst="rect">
                      <a:avLst/>
                    </a:prstGeom>
                  </pic:spPr>
                </pic:pic>
              </a:graphicData>
            </a:graphic>
          </wp:inline>
        </w:drawing>
      </w:r>
    </w:p>
    <w:p w14:paraId="571044AB" w14:textId="77777777" w:rsidR="006E487A" w:rsidRDefault="00BA6D23">
      <w:r>
        <w:t>Figure 4.  The accuracy evidence pack that replaces MAPE. Values shown are the pre-registered success criteria, to be replaced by measured results.</w:t>
      </w:r>
    </w:p>
    <w:p w14:paraId="26273036" w14:textId="77777777" w:rsidR="006E487A" w:rsidRDefault="00BA6D23">
      <w:pPr>
        <w:pStyle w:val="Heading2"/>
      </w:pPr>
      <w:bookmarkStart w:id="16" w:name="_Toc239881122"/>
      <w:r>
        <w:t>Objective 2  —  Cannibalization as a causal decay curve</w:t>
      </w:r>
      <w:bookmarkEnd w:id="16"/>
    </w:p>
    <w:p w14:paraId="48714429" w14:textId="77777777" w:rsidR="006E487A" w:rsidRDefault="00BA6D23">
      <w:r>
        <w:t>Estimate the cannibalization effect by distance band using spatial synthetic control with placebo inference, and use the estimated decay to construct W. Success criteria: pre-treatment fit RMSE below 8% of the outcome mean; a post/pre RMSPE-ratio permutation p-value below 0.10 against in-space placebos; and a reported decay curve with confidence bands at each distance band.</w:t>
      </w:r>
    </w:p>
    <w:p w14:paraId="3C50A9BE" w14:textId="77777777" w:rsidR="006E487A" w:rsidRDefault="00BA6D23">
      <w:r>
        <w:t>Pre-treatment fit alone is necessary but not sufficient — it is possible to fit the pre-period well and estimate a treatment effect indistinguishable from placebo noise. Permutation inference is the Abadie standard and its absence is a legitimate reviewer objection.</w:t>
      </w:r>
    </w:p>
    <w:p w14:paraId="7D8CB77C" w14:textId="77777777" w:rsidR="006E487A" w:rsidRDefault="00BA6D23">
      <w:pPr>
        <w:pStyle w:val="Heading2"/>
      </w:pPr>
      <w:bookmarkStart w:id="17" w:name="_Toc239881123"/>
      <w:r>
        <w:t>Objective 3  —  Agent with identification gates</w:t>
      </w:r>
      <w:bookmarkEnd w:id="17"/>
    </w:p>
    <w:p w14:paraId="1A680B9B" w14:textId="77777777" w:rsidR="006E487A" w:rsidRDefault="00BA6D23">
      <w:r>
        <w:t>Implement a ReAct agent with three MCP-wrapped tools and a six-gate mutation path. Evaluation uses execution accuracy — does the generated query return the same result set as a gold query — on at least 100 questions stratified into four difficulty tiers, reported with Wilson confidence intervals.</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2D728A2C" w14:textId="77777777">
        <w:tc>
          <w:tcPr>
            <w:tcW w:w="9360" w:type="dxa"/>
            <w:shd w:val="clear" w:color="auto" w:fill="E7ECF3"/>
          </w:tcPr>
          <w:p w14:paraId="24920104" w14:textId="77777777" w:rsidR="006E487A" w:rsidRDefault="00BA6D23">
            <w:pPr>
              <w:spacing w:after="40"/>
            </w:pPr>
            <w:r>
              <w:rPr>
                <w:b/>
                <w:color w:val="1A2B4A"/>
                <w:sz w:val="20"/>
              </w:rPr>
              <w:t>CALIBRATING THE TARGET AGAINST THE FIELD</w:t>
            </w:r>
          </w:p>
          <w:p w14:paraId="103DC9C7" w14:textId="77777777" w:rsidR="006E487A" w:rsidRDefault="00BA6D23">
            <w:pPr>
              <w:spacing w:after="40"/>
            </w:pPr>
            <w:r>
              <w:rPr>
                <w:color w:val="1A2B4A"/>
              </w:rPr>
              <w:t>On the BIRD benchmark (Li et al., NeurIPS 2023) the best public systems reach roughly 80% execution accuracy against a human baseline near 93%. Any target above that on a self-authored question set would be an above-state-of-the-art claim on an unfalsifiable test. At n = 40 an observed 85% carries a 95% Wilson interval of roughly [71%, 93%], so success and failure are statistically indistinguishable. We target 75% overall at n ≥ 100 and report per-tier.</w:t>
            </w:r>
          </w:p>
        </w:tc>
      </w:tr>
    </w:tbl>
    <w:p w14:paraId="1E2B7A46" w14:textId="77777777" w:rsidR="006E487A" w:rsidRDefault="006E487A">
      <w:pPr>
        <w:spacing w:after="40"/>
      </w:pPr>
    </w:p>
    <w:p w14:paraId="04FEA36E" w14:textId="77777777" w:rsidR="006E487A" w:rsidRDefault="006E487A"/>
    <w:p w14:paraId="37D057D4" w14:textId="77777777" w:rsidR="006E487A" w:rsidRDefault="00BA6D23">
      <w:r>
        <w:t>Separately, for the mutation path: at least 90% of mutations that materially change the cannibalization coefficient must be caught by gate 6 on a seeded adversarial set of 50 perturbations.</w:t>
      </w:r>
    </w:p>
    <w:p w14:paraId="4EC62194" w14:textId="77777777" w:rsidR="006E487A" w:rsidRDefault="00BA6D23">
      <w:pPr>
        <w:pStyle w:val="Heading2"/>
      </w:pPr>
      <w:bookmarkStart w:id="18" w:name="_Toc239881124"/>
      <w:r>
        <w:t>Objective 4  —  Deployable application and open dataset</w:t>
      </w:r>
      <w:bookmarkEnd w:id="18"/>
    </w:p>
    <w:p w14:paraId="22030222" w14:textId="77777777" w:rsidR="006E487A" w:rsidRDefault="00BA6D23">
      <w:pPr>
        <w:pStyle w:val="ListBullet"/>
      </w:pPr>
      <w:r>
        <w:t>A deployed application with an operator view and a public planning view, loading in under five seconds.</w:t>
      </w:r>
    </w:p>
    <w:p w14:paraId="6875A43F" w14:textId="77777777" w:rsidR="006E487A" w:rsidRDefault="00BA6D23">
      <w:pPr>
        <w:pStyle w:val="ListBullet"/>
      </w:pPr>
      <w:r>
        <w:t>The ZCTA-level facility-opening panel published as an open dataset with a data card — the most durable artifact the project produces.</w:t>
      </w:r>
    </w:p>
    <w:p w14:paraId="042AF32F" w14:textId="77777777" w:rsidR="006E487A" w:rsidRDefault="00BA6D23">
      <w:pPr>
        <w:pStyle w:val="ListBullet"/>
      </w:pPr>
      <w:r>
        <w:t>Metro-level capital aggregates validated against public capital-expenditure disclosures to within 25% — the only externally falsifiable number in the system.</w:t>
      </w:r>
    </w:p>
    <w:p w14:paraId="7EC013EF" w14:textId="77777777" w:rsidR="006E487A" w:rsidRDefault="00BA6D23">
      <w:pPr>
        <w:pStyle w:val="ListBullet"/>
      </w:pPr>
      <w:r>
        <w:t>Net present value reported in units of contribution margin with explicit break-even thresholds, so that no unobservable revenue figure is asserted (§5.6).</w:t>
      </w:r>
    </w:p>
    <w:p w14:paraId="29C9AB11" w14:textId="77777777" w:rsidR="006E487A" w:rsidRDefault="00BA6D23">
      <w:pPr>
        <w:pStyle w:val="ListBullet"/>
      </w:pPr>
      <w:r>
        <w:t>A methods paper draft, a reproducibility write-up, and a timestamped public forecast registry so predictions can be scored later by anyone.</w:t>
      </w:r>
    </w:p>
    <w:p w14:paraId="38B46CBD" w14:textId="77777777" w:rsidR="006E487A" w:rsidRDefault="006E487A"/>
    <w:p w14:paraId="7CBC6606" w14:textId="77777777" w:rsidR="006E487A" w:rsidRDefault="00BA6D23">
      <w:pPr>
        <w:pStyle w:val="Heading1"/>
      </w:pPr>
      <w:bookmarkStart w:id="19" w:name="_Toc239881125"/>
      <w:r>
        <w:t>4.  Data</w:t>
      </w:r>
      <w:bookmarkEnd w:id="19"/>
    </w:p>
    <w:p w14:paraId="62A2EC70" w14:textId="77777777" w:rsidR="006E487A" w:rsidRDefault="00BA6D23">
      <w:pPr>
        <w:pStyle w:val="Heading2"/>
      </w:pPr>
      <w:bookmarkStart w:id="20" w:name="_Toc239881126"/>
      <w:r>
        <w:t>4.1  Sources</w:t>
      </w:r>
      <w:bookmarkEnd w:id="20"/>
    </w:p>
    <w:p w14:paraId="1F55730F" w14:textId="77777777" w:rsidR="006E487A" w:rsidRDefault="00BA6D23">
      <w:r>
        <w:t>Nine public sources feed the analytical panel, and OpenStreetMap is additionally used once, offline, to precompute drive times (Sec 5.9). No licensed panel and no paid API is required, which is what makes the system reproducible by a third party. Sources are selected not only for what they measure but for how often they update: the Census Building Permits Survey and the one-year ACS release are included specifically to offset the reporting lag in the five-year census series (§4.2).</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2340"/>
        <w:gridCol w:w="2340"/>
        <w:gridCol w:w="2340"/>
        <w:gridCol w:w="2340"/>
      </w:tblGrid>
      <w:tr w:rsidR="006E487A" w14:paraId="1505385A" w14:textId="77777777">
        <w:trPr>
          <w:tblHeader/>
        </w:trPr>
        <w:tc>
          <w:tcPr>
            <w:tcW w:w="2340" w:type="dxa"/>
            <w:shd w:val="clear" w:color="auto" w:fill="1A2B4A"/>
            <w:vAlign w:val="center"/>
          </w:tcPr>
          <w:p w14:paraId="2C2BCF48" w14:textId="77777777" w:rsidR="006E487A" w:rsidRDefault="00BA6D23">
            <w:pPr>
              <w:spacing w:after="40"/>
            </w:pPr>
            <w:r>
              <w:rPr>
                <w:b/>
                <w:color w:val="FFFFFF"/>
                <w:sz w:val="20"/>
              </w:rPr>
              <w:t>Source</w:t>
            </w:r>
          </w:p>
        </w:tc>
        <w:tc>
          <w:tcPr>
            <w:tcW w:w="2340" w:type="dxa"/>
            <w:shd w:val="clear" w:color="auto" w:fill="1A2B4A"/>
            <w:vAlign w:val="center"/>
          </w:tcPr>
          <w:p w14:paraId="27BBC5EA" w14:textId="77777777" w:rsidR="006E487A" w:rsidRDefault="00BA6D23">
            <w:pPr>
              <w:spacing w:after="40"/>
            </w:pPr>
            <w:r>
              <w:rPr>
                <w:b/>
                <w:color w:val="FFFFFF"/>
                <w:sz w:val="20"/>
              </w:rPr>
              <w:t>Grain</w:t>
            </w:r>
          </w:p>
        </w:tc>
        <w:tc>
          <w:tcPr>
            <w:tcW w:w="2340" w:type="dxa"/>
            <w:shd w:val="clear" w:color="auto" w:fill="1A2B4A"/>
            <w:vAlign w:val="center"/>
          </w:tcPr>
          <w:p w14:paraId="69A463CB" w14:textId="77777777" w:rsidR="006E487A" w:rsidRDefault="00BA6D23">
            <w:pPr>
              <w:spacing w:after="40"/>
            </w:pPr>
            <w:r>
              <w:rPr>
                <w:b/>
                <w:color w:val="FFFFFF"/>
                <w:sz w:val="20"/>
              </w:rPr>
              <w:t>Role</w:t>
            </w:r>
          </w:p>
        </w:tc>
        <w:tc>
          <w:tcPr>
            <w:tcW w:w="2340" w:type="dxa"/>
            <w:shd w:val="clear" w:color="auto" w:fill="1A2B4A"/>
            <w:vAlign w:val="center"/>
          </w:tcPr>
          <w:p w14:paraId="62954F04" w14:textId="77777777" w:rsidR="006E487A" w:rsidRDefault="00BA6D23">
            <w:pPr>
              <w:spacing w:after="40"/>
            </w:pPr>
            <w:r>
              <w:rPr>
                <w:b/>
                <w:color w:val="FFFFFF"/>
                <w:sz w:val="20"/>
              </w:rPr>
              <w:t>Access</w:t>
            </w:r>
          </w:p>
        </w:tc>
      </w:tr>
      <w:tr w:rsidR="006E487A" w14:paraId="558158D6" w14:textId="77777777">
        <w:tc>
          <w:tcPr>
            <w:tcW w:w="2340" w:type="dxa"/>
            <w:vAlign w:val="center"/>
          </w:tcPr>
          <w:p w14:paraId="044F9DC1" w14:textId="77777777" w:rsidR="006E487A" w:rsidRDefault="00BA6D23">
            <w:pPr>
              <w:spacing w:after="40"/>
            </w:pPr>
            <w:r>
              <w:rPr>
                <w:color w:val="1A2B4A"/>
                <w:sz w:val="20"/>
              </w:rPr>
              <w:t>Census ACS (5-year and 1-year)</w:t>
            </w:r>
          </w:p>
        </w:tc>
        <w:tc>
          <w:tcPr>
            <w:tcW w:w="2340" w:type="dxa"/>
            <w:vAlign w:val="center"/>
          </w:tcPr>
          <w:p w14:paraId="7D63AC68" w14:textId="77777777" w:rsidR="006E487A" w:rsidRDefault="00BA6D23">
            <w:pPr>
              <w:spacing w:after="40"/>
            </w:pPr>
            <w:r>
              <w:rPr>
                <w:color w:val="1A2B4A"/>
                <w:sz w:val="20"/>
              </w:rPr>
              <w:t>ZCTA; metro for the 1-year release</w:t>
            </w:r>
          </w:p>
        </w:tc>
        <w:tc>
          <w:tcPr>
            <w:tcW w:w="2340" w:type="dxa"/>
            <w:vAlign w:val="center"/>
          </w:tcPr>
          <w:p w14:paraId="73DA13EE" w14:textId="77777777" w:rsidR="006E487A" w:rsidRDefault="00BA6D23">
            <w:pPr>
              <w:spacing w:after="40"/>
            </w:pPr>
            <w:r>
              <w:rPr>
                <w:color w:val="1A2B4A"/>
                <w:sz w:val="20"/>
              </w:rPr>
              <w:t>Demographics, income, age; recent movement at ~9-month lag</w:t>
            </w:r>
          </w:p>
        </w:tc>
        <w:tc>
          <w:tcPr>
            <w:tcW w:w="2340" w:type="dxa"/>
            <w:vAlign w:val="center"/>
          </w:tcPr>
          <w:p w14:paraId="103B7EEF" w14:textId="77777777" w:rsidR="006E487A" w:rsidRDefault="00BA6D23">
            <w:pPr>
              <w:spacing w:after="40"/>
            </w:pPr>
            <w:r>
              <w:rPr>
                <w:color w:val="1A2B4A"/>
                <w:sz w:val="20"/>
              </w:rPr>
              <w:t>Public API</w:t>
            </w:r>
          </w:p>
        </w:tc>
      </w:tr>
      <w:tr w:rsidR="006E487A" w14:paraId="6378BDE1" w14:textId="77777777">
        <w:tc>
          <w:tcPr>
            <w:tcW w:w="2340" w:type="dxa"/>
            <w:vAlign w:val="center"/>
          </w:tcPr>
          <w:p w14:paraId="5E39E48E" w14:textId="77777777" w:rsidR="006E487A" w:rsidRDefault="00BA6D23">
            <w:pPr>
              <w:spacing w:after="40"/>
            </w:pPr>
            <w:r>
              <w:rPr>
                <w:color w:val="1A2B4A"/>
                <w:sz w:val="20"/>
              </w:rPr>
              <w:t>TIGER/Line</w:t>
            </w:r>
          </w:p>
        </w:tc>
        <w:tc>
          <w:tcPr>
            <w:tcW w:w="2340" w:type="dxa"/>
            <w:vAlign w:val="center"/>
          </w:tcPr>
          <w:p w14:paraId="6E01FB1E" w14:textId="77777777" w:rsidR="006E487A" w:rsidRDefault="00BA6D23">
            <w:pPr>
              <w:spacing w:after="40"/>
            </w:pPr>
            <w:r>
              <w:rPr>
                <w:color w:val="1A2B4A"/>
                <w:sz w:val="20"/>
              </w:rPr>
              <w:t>ZCTA polygon</w:t>
            </w:r>
          </w:p>
        </w:tc>
        <w:tc>
          <w:tcPr>
            <w:tcW w:w="2340" w:type="dxa"/>
            <w:vAlign w:val="center"/>
          </w:tcPr>
          <w:p w14:paraId="5D0B9E70" w14:textId="77777777" w:rsidR="006E487A" w:rsidRDefault="00BA6D23">
            <w:pPr>
              <w:spacing w:after="40"/>
            </w:pPr>
            <w:r>
              <w:rPr>
                <w:color w:val="1A2B4A"/>
                <w:sz w:val="20"/>
              </w:rPr>
              <w:t>Geometry for spatial joins</w:t>
            </w:r>
          </w:p>
        </w:tc>
        <w:tc>
          <w:tcPr>
            <w:tcW w:w="2340" w:type="dxa"/>
            <w:vAlign w:val="center"/>
          </w:tcPr>
          <w:p w14:paraId="21CA284C" w14:textId="77777777" w:rsidR="006E487A" w:rsidRDefault="00BA6D23">
            <w:pPr>
              <w:spacing w:after="40"/>
            </w:pPr>
            <w:r>
              <w:rPr>
                <w:color w:val="1A2B4A"/>
                <w:sz w:val="20"/>
              </w:rPr>
              <w:t>Bulk download</w:t>
            </w:r>
          </w:p>
        </w:tc>
      </w:tr>
      <w:tr w:rsidR="006E487A" w14:paraId="7BFCCF11" w14:textId="77777777">
        <w:tc>
          <w:tcPr>
            <w:tcW w:w="2340" w:type="dxa"/>
            <w:vAlign w:val="center"/>
          </w:tcPr>
          <w:p w14:paraId="2A194B83" w14:textId="77777777" w:rsidR="006E487A" w:rsidRDefault="00BA6D23">
            <w:pPr>
              <w:spacing w:after="40"/>
            </w:pPr>
            <w:r>
              <w:rPr>
                <w:color w:val="1A2B4A"/>
                <w:sz w:val="20"/>
              </w:rPr>
              <w:t>Zillow ZORI / ZHVI</w:t>
            </w:r>
          </w:p>
        </w:tc>
        <w:tc>
          <w:tcPr>
            <w:tcW w:w="2340" w:type="dxa"/>
            <w:vAlign w:val="center"/>
          </w:tcPr>
          <w:p w14:paraId="2772B436" w14:textId="77777777" w:rsidR="006E487A" w:rsidRDefault="00BA6D23">
            <w:pPr>
              <w:spacing w:after="40"/>
            </w:pPr>
            <w:r>
              <w:rPr>
                <w:color w:val="1A2B4A"/>
                <w:sz w:val="20"/>
              </w:rPr>
              <w:t>ZIP</w:t>
            </w:r>
          </w:p>
        </w:tc>
        <w:tc>
          <w:tcPr>
            <w:tcW w:w="2340" w:type="dxa"/>
            <w:vAlign w:val="center"/>
          </w:tcPr>
          <w:p w14:paraId="76784A5D" w14:textId="77777777" w:rsidR="006E487A" w:rsidRDefault="00BA6D23">
            <w:pPr>
              <w:spacing w:after="40"/>
            </w:pPr>
            <w:r>
              <w:rPr>
                <w:color w:val="1A2B4A"/>
                <w:sz w:val="20"/>
              </w:rPr>
              <w:t>Rent and value bands</w:t>
            </w:r>
          </w:p>
        </w:tc>
        <w:tc>
          <w:tcPr>
            <w:tcW w:w="2340" w:type="dxa"/>
            <w:vAlign w:val="center"/>
          </w:tcPr>
          <w:p w14:paraId="7FC9CE50" w14:textId="77777777" w:rsidR="006E487A" w:rsidRDefault="00BA6D23">
            <w:pPr>
              <w:spacing w:after="40"/>
            </w:pPr>
            <w:r>
              <w:rPr>
                <w:color w:val="1A2B4A"/>
                <w:sz w:val="20"/>
              </w:rPr>
              <w:t>Public CSV</w:t>
            </w:r>
          </w:p>
        </w:tc>
      </w:tr>
      <w:tr w:rsidR="006E487A" w14:paraId="6157FFC4" w14:textId="77777777">
        <w:tc>
          <w:tcPr>
            <w:tcW w:w="2340" w:type="dxa"/>
            <w:vAlign w:val="center"/>
          </w:tcPr>
          <w:p w14:paraId="2CA0B0B2" w14:textId="77777777" w:rsidR="006E487A" w:rsidRDefault="00BA6D23">
            <w:pPr>
              <w:spacing w:after="40"/>
            </w:pPr>
            <w:r>
              <w:rPr>
                <w:color w:val="1A2B4A"/>
                <w:sz w:val="20"/>
              </w:rPr>
              <w:t>Census County Business Patterns</w:t>
            </w:r>
          </w:p>
        </w:tc>
        <w:tc>
          <w:tcPr>
            <w:tcW w:w="2340" w:type="dxa"/>
            <w:vAlign w:val="center"/>
          </w:tcPr>
          <w:p w14:paraId="2BA75756" w14:textId="77777777" w:rsidR="006E487A" w:rsidRDefault="00BA6D23">
            <w:pPr>
              <w:spacing w:after="40"/>
            </w:pPr>
            <w:r>
              <w:rPr>
                <w:color w:val="1A2B4A"/>
                <w:sz w:val="20"/>
              </w:rPr>
              <w:t>ZIP × NAICS</w:t>
            </w:r>
          </w:p>
        </w:tc>
        <w:tc>
          <w:tcPr>
            <w:tcW w:w="2340" w:type="dxa"/>
            <w:vAlign w:val="center"/>
          </w:tcPr>
          <w:p w14:paraId="4DCE3A56" w14:textId="77777777" w:rsidR="006E487A" w:rsidRDefault="00BA6D23">
            <w:pPr>
              <w:spacing w:after="40"/>
            </w:pPr>
            <w:r>
              <w:rPr>
                <w:color w:val="1A2B4A"/>
                <w:sz w:val="20"/>
              </w:rPr>
              <w:t>Retail density (competitive pull)</w:t>
            </w:r>
          </w:p>
        </w:tc>
        <w:tc>
          <w:tcPr>
            <w:tcW w:w="2340" w:type="dxa"/>
            <w:vAlign w:val="center"/>
          </w:tcPr>
          <w:p w14:paraId="7BA0C2A4" w14:textId="77777777" w:rsidR="006E487A" w:rsidRDefault="00BA6D23">
            <w:pPr>
              <w:spacing w:after="40"/>
            </w:pPr>
            <w:r>
              <w:rPr>
                <w:color w:val="1A2B4A"/>
                <w:sz w:val="20"/>
              </w:rPr>
              <w:t>Bulk download</w:t>
            </w:r>
          </w:p>
        </w:tc>
      </w:tr>
      <w:tr w:rsidR="006E487A" w14:paraId="6157FFC4" w14:textId="77777777">
        <w:tc>
          <w:tcPr>
            <w:tcW w:w="2340" w:type="dxa"/>
            <w:vAlign w:val="center"/>
          </w:tcPr>
          <w:p w14:paraId="2CA0B0B2" w14:textId="77777777" w:rsidR="006E487A" w:rsidRDefault="00BA6D23">
            <w:pPr>
              <w:spacing w:after="40"/>
            </w:pPr>
            <w:r>
              <w:rPr>
                <w:color w:val="1A2B4A"/>
                <w:sz w:val="20"/>
              </w:rPr>
              <w:t>Census Building Permits Survey</w:t>
            </w:r>
          </w:p>
        </w:tc>
        <w:tc>
          <w:tcPr>
            <w:tcW w:w="2340" w:type="dxa"/>
            <w:vAlign w:val="center"/>
          </w:tcPr>
          <w:p w14:paraId="2BA75756" w14:textId="77777777" w:rsidR="006E487A" w:rsidRDefault="00BA6D23">
            <w:pPr>
              <w:spacing w:after="40"/>
            </w:pPr>
            <w:r>
              <w:rPr>
                <w:color w:val="1A2B4A"/>
                <w:sz w:val="20"/>
              </w:rPr>
              <w:t>County, monthly</w:t>
            </w:r>
          </w:p>
        </w:tc>
        <w:tc>
          <w:tcPr>
            <w:tcW w:w="2340" w:type="dxa"/>
            <w:vAlign w:val="center"/>
          </w:tcPr>
          <w:p w14:paraId="4DCE3A56" w14:textId="77777777" w:rsidR="006E487A" w:rsidRDefault="00BA6D23">
            <w:pPr>
              <w:spacing w:after="40"/>
            </w:pPr>
            <w:r>
              <w:rPr>
                <w:color w:val="1A2B4A"/>
                <w:sz w:val="20"/>
              </w:rPr>
              <w:t>Leading indicator: construction precedes population</w:t>
            </w:r>
          </w:p>
        </w:tc>
        <w:tc>
          <w:tcPr>
            <w:tcW w:w="2340" w:type="dxa"/>
            <w:vAlign w:val="center"/>
          </w:tcPr>
          <w:p w14:paraId="7BA0C2A4" w14:textId="77777777" w:rsidR="006E487A" w:rsidRDefault="00BA6D23">
            <w:pPr>
              <w:spacing w:after="40"/>
            </w:pPr>
            <w:r>
              <w:rPr>
                <w:color w:val="1A2B4A"/>
                <w:sz w:val="20"/>
              </w:rPr>
              <w:t>Bulk download</w:t>
            </w:r>
          </w:p>
        </w:tc>
      </w:tr>
      <w:tr w:rsidR="006E487A" w14:paraId="693CB7A7" w14:textId="77777777">
        <w:tc>
          <w:tcPr>
            <w:tcW w:w="2340" w:type="dxa"/>
            <w:vAlign w:val="center"/>
          </w:tcPr>
          <w:p w14:paraId="07FBFB84" w14:textId="77777777" w:rsidR="006E487A" w:rsidRDefault="00BA6D23">
            <w:pPr>
              <w:spacing w:after="40"/>
            </w:pPr>
            <w:r>
              <w:rPr>
                <w:color w:val="1A2B4A"/>
                <w:sz w:val="20"/>
              </w:rPr>
              <w:t>BLS OES</w:t>
            </w:r>
          </w:p>
        </w:tc>
        <w:tc>
          <w:tcPr>
            <w:tcW w:w="2340" w:type="dxa"/>
            <w:vAlign w:val="center"/>
          </w:tcPr>
          <w:p w14:paraId="68ECAD59" w14:textId="77777777" w:rsidR="006E487A" w:rsidRDefault="00BA6D23">
            <w:pPr>
              <w:spacing w:after="40"/>
            </w:pPr>
            <w:r>
              <w:rPr>
                <w:color w:val="1A2B4A"/>
                <w:sz w:val="20"/>
              </w:rPr>
              <w:t>Metro</w:t>
            </w:r>
          </w:p>
        </w:tc>
        <w:tc>
          <w:tcPr>
            <w:tcW w:w="2340" w:type="dxa"/>
            <w:vAlign w:val="center"/>
          </w:tcPr>
          <w:p w14:paraId="5AC32A96" w14:textId="77777777" w:rsidR="006E487A" w:rsidRDefault="00BA6D23">
            <w:pPr>
              <w:spacing w:after="40"/>
            </w:pPr>
            <w:r>
              <w:rPr>
                <w:color w:val="1A2B4A"/>
                <w:sz w:val="20"/>
              </w:rPr>
              <w:t>Driver and warehouse wages</w:t>
            </w:r>
          </w:p>
        </w:tc>
        <w:tc>
          <w:tcPr>
            <w:tcW w:w="2340" w:type="dxa"/>
            <w:vAlign w:val="center"/>
          </w:tcPr>
          <w:p w14:paraId="0C45B4FB" w14:textId="77777777" w:rsidR="006E487A" w:rsidRDefault="00BA6D23">
            <w:pPr>
              <w:spacing w:after="40"/>
            </w:pPr>
            <w:r>
              <w:rPr>
                <w:color w:val="1A2B4A"/>
                <w:sz w:val="20"/>
              </w:rPr>
              <w:t>Bulk download</w:t>
            </w:r>
          </w:p>
        </w:tc>
      </w:tr>
      <w:tr w:rsidR="006E487A" w14:paraId="6313C5B8" w14:textId="77777777">
        <w:tc>
          <w:tcPr>
            <w:tcW w:w="2340" w:type="dxa"/>
            <w:vAlign w:val="center"/>
          </w:tcPr>
          <w:p w14:paraId="595E83E4" w14:textId="77777777" w:rsidR="006E487A" w:rsidRDefault="00BA6D23">
            <w:pPr>
              <w:spacing w:after="40"/>
            </w:pPr>
            <w:r>
              <w:rPr>
                <w:color w:val="1A2B4A"/>
                <w:sz w:val="20"/>
              </w:rPr>
              <w:t>EIA</w:t>
            </w:r>
          </w:p>
        </w:tc>
        <w:tc>
          <w:tcPr>
            <w:tcW w:w="2340" w:type="dxa"/>
            <w:vAlign w:val="center"/>
          </w:tcPr>
          <w:p w14:paraId="19F6B632" w14:textId="77777777" w:rsidR="006E487A" w:rsidRDefault="00BA6D23">
            <w:pPr>
              <w:spacing w:after="40"/>
            </w:pPr>
            <w:r>
              <w:rPr>
                <w:color w:val="1A2B4A"/>
                <w:sz w:val="20"/>
              </w:rPr>
              <w:t>Region</w:t>
            </w:r>
          </w:p>
        </w:tc>
        <w:tc>
          <w:tcPr>
            <w:tcW w:w="2340" w:type="dxa"/>
            <w:vAlign w:val="center"/>
          </w:tcPr>
          <w:p w14:paraId="28B85303" w14:textId="77777777" w:rsidR="006E487A" w:rsidRDefault="00BA6D23">
            <w:pPr>
              <w:spacing w:after="40"/>
            </w:pPr>
            <w:r>
              <w:rPr>
                <w:color w:val="1A2B4A"/>
                <w:sz w:val="20"/>
              </w:rPr>
              <w:t>Fuel and industrial electricity prices</w:t>
            </w:r>
          </w:p>
        </w:tc>
        <w:tc>
          <w:tcPr>
            <w:tcW w:w="2340" w:type="dxa"/>
            <w:vAlign w:val="center"/>
          </w:tcPr>
          <w:p w14:paraId="4255726E" w14:textId="77777777" w:rsidR="006E487A" w:rsidRDefault="00BA6D23">
            <w:pPr>
              <w:spacing w:after="40"/>
            </w:pPr>
            <w:r>
              <w:rPr>
                <w:color w:val="1A2B4A"/>
                <w:sz w:val="20"/>
              </w:rPr>
              <w:t>Bulk download</w:t>
            </w:r>
          </w:p>
        </w:tc>
      </w:tr>
      <w:tr w:rsidR="006E487A" w14:paraId="5963B766" w14:textId="77777777">
        <w:tc>
          <w:tcPr>
            <w:tcW w:w="2340" w:type="dxa"/>
            <w:vAlign w:val="center"/>
          </w:tcPr>
          <w:p w14:paraId="089502EE" w14:textId="77777777" w:rsidR="006E487A" w:rsidRDefault="00BA6D23">
            <w:pPr>
              <w:spacing w:after="40"/>
            </w:pPr>
            <w:r>
              <w:rPr>
                <w:color w:val="1A2B4A"/>
                <w:sz w:val="20"/>
              </w:rPr>
              <w:t>Facility panel and open dates</w:t>
            </w:r>
          </w:p>
        </w:tc>
        <w:tc>
          <w:tcPr>
            <w:tcW w:w="2340" w:type="dxa"/>
            <w:vAlign w:val="center"/>
          </w:tcPr>
          <w:p w14:paraId="579E2B31" w14:textId="77777777" w:rsidR="006E487A" w:rsidRDefault="00BA6D23">
            <w:pPr>
              <w:spacing w:after="40"/>
            </w:pPr>
            <w:r>
              <w:rPr>
                <w:color w:val="1A2B4A"/>
                <w:sz w:val="20"/>
              </w:rPr>
              <w:t>Facility</w:t>
            </w:r>
          </w:p>
        </w:tc>
        <w:tc>
          <w:tcPr>
            <w:tcW w:w="2340" w:type="dxa"/>
            <w:vAlign w:val="center"/>
          </w:tcPr>
          <w:p w14:paraId="69EBE29F" w14:textId="77777777" w:rsidR="006E487A" w:rsidRDefault="00BA6D23">
            <w:pPr>
              <w:spacing w:after="40"/>
            </w:pPr>
            <w:r>
              <w:rPr>
                <w:color w:val="1A2B4A"/>
                <w:sz w:val="20"/>
              </w:rPr>
              <w:t>The target variable — see §4.2</w:t>
            </w:r>
          </w:p>
        </w:tc>
        <w:tc>
          <w:tcPr>
            <w:tcW w:w="2340" w:type="dxa"/>
            <w:vAlign w:val="center"/>
          </w:tcPr>
          <w:p w14:paraId="1961D637" w14:textId="77777777" w:rsidR="006E487A" w:rsidRDefault="00BA6D23">
            <w:pPr>
              <w:spacing w:after="40"/>
            </w:pPr>
            <w:r>
              <w:rPr>
                <w:color w:val="1A2B4A"/>
                <w:sz w:val="20"/>
              </w:rPr>
              <w:t>Public inventory + filings</w:t>
            </w:r>
          </w:p>
        </w:tc>
      </w:tr>
      <w:tr w:rsidR="006E487A" w14:paraId="4462C438" w14:textId="77777777">
        <w:tc>
          <w:tcPr>
            <w:tcW w:w="2340" w:type="dxa"/>
            <w:vAlign w:val="center"/>
          </w:tcPr>
          <w:p w14:paraId="617F9F77" w14:textId="77777777" w:rsidR="006E487A" w:rsidRDefault="00BA6D23">
            <w:pPr>
              <w:spacing w:after="40"/>
            </w:pPr>
            <w:r>
              <w:rPr>
                <w:color w:val="1A2B4A"/>
                <w:sz w:val="20"/>
              </w:rPr>
              <w:t>EPA EJScreen</w:t>
            </w:r>
          </w:p>
        </w:tc>
        <w:tc>
          <w:tcPr>
            <w:tcW w:w="2340" w:type="dxa"/>
            <w:vAlign w:val="center"/>
          </w:tcPr>
          <w:p w14:paraId="78158925" w14:textId="77777777" w:rsidR="006E487A" w:rsidRDefault="00BA6D23">
            <w:pPr>
              <w:spacing w:after="40"/>
            </w:pPr>
            <w:r>
              <w:rPr>
                <w:color w:val="1A2B4A"/>
                <w:sz w:val="20"/>
              </w:rPr>
              <w:t>Block group</w:t>
            </w:r>
          </w:p>
        </w:tc>
        <w:tc>
          <w:tcPr>
            <w:tcW w:w="2340" w:type="dxa"/>
            <w:vAlign w:val="center"/>
          </w:tcPr>
          <w:p w14:paraId="6D3B4660" w14:textId="77777777" w:rsidR="006E487A" w:rsidRDefault="00BA6D23">
            <w:pPr>
              <w:spacing w:after="40"/>
            </w:pPr>
            <w:r>
              <w:rPr>
                <w:color w:val="1A2B4A"/>
                <w:sz w:val="20"/>
              </w:rPr>
              <w:t>Environmental-justice indices for the equity overlay</w:t>
            </w:r>
          </w:p>
        </w:tc>
        <w:tc>
          <w:tcPr>
            <w:tcW w:w="2340" w:type="dxa"/>
            <w:vAlign w:val="center"/>
          </w:tcPr>
          <w:p w14:paraId="1607CD7C" w14:textId="77777777" w:rsidR="006E487A" w:rsidRDefault="00BA6D23">
            <w:pPr>
              <w:spacing w:after="40"/>
            </w:pPr>
            <w:r>
              <w:rPr>
                <w:color w:val="1A2B4A"/>
                <w:sz w:val="20"/>
              </w:rPr>
              <w:t>Bulk download</w:t>
            </w:r>
          </w:p>
        </w:tc>
      </w:tr>
      <w:tr w:rsidR="006E487A" w14:paraId="705CEEB0" w14:textId="77777777">
        <w:tc>
          <w:tcPr>
            <w:tcW w:w="2340" w:type="dxa"/>
            <w:vAlign w:val="center"/>
          </w:tcPr>
          <w:p w14:paraId="1C0E7EB3" w14:textId="77777777" w:rsidR="006E487A" w:rsidRDefault="00BA6D23">
            <w:pPr>
              <w:spacing w:after="40"/>
            </w:pPr>
            <w:r>
              <w:rPr>
                <w:color w:val="1A2B4A"/>
                <w:sz w:val="20"/>
              </w:rPr>
              <w:t>OpenStreetMap</w:t>
            </w:r>
          </w:p>
        </w:tc>
        <w:tc>
          <w:tcPr>
            <w:tcW w:w="2340" w:type="dxa"/>
            <w:vAlign w:val="center"/>
          </w:tcPr>
          <w:p w14:paraId="731F5125" w14:textId="77777777" w:rsidR="006E487A" w:rsidRDefault="00BA6D23">
            <w:pPr>
              <w:spacing w:after="40"/>
            </w:pPr>
            <w:r>
              <w:rPr>
                <w:color w:val="1A2B4A"/>
                <w:sz w:val="20"/>
              </w:rPr>
              <w:t>Road network</w:t>
            </w:r>
          </w:p>
        </w:tc>
        <w:tc>
          <w:tcPr>
            <w:tcW w:w="2340" w:type="dxa"/>
            <w:vAlign w:val="center"/>
          </w:tcPr>
          <w:p w14:paraId="1378FA85" w14:textId="77777777" w:rsidR="006E487A" w:rsidRDefault="00BA6D23">
            <w:pPr>
              <w:spacing w:after="40"/>
            </w:pPr>
            <w:r>
              <w:rPr>
                <w:color w:val="1A2B4A"/>
                <w:sz w:val="20"/>
              </w:rPr>
              <w:t>Drive times, used once offline (§5.9)</w:t>
            </w:r>
          </w:p>
        </w:tc>
        <w:tc>
          <w:tcPr>
            <w:tcW w:w="2340" w:type="dxa"/>
            <w:vAlign w:val="center"/>
          </w:tcPr>
          <w:p w14:paraId="232F8062" w14:textId="77777777" w:rsidR="006E487A" w:rsidRDefault="00BA6D23">
            <w:pPr>
              <w:spacing w:after="40"/>
            </w:pPr>
            <w:r>
              <w:rPr>
                <w:color w:val="1A2B4A"/>
                <w:sz w:val="20"/>
              </w:rPr>
              <w:t>Geofabrik / BBBike</w:t>
            </w:r>
          </w:p>
        </w:tc>
      </w:tr>
    </w:tbl>
    <w:p w14:paraId="383DD3E5" w14:textId="77777777" w:rsidR="006E487A" w:rsidRDefault="006E487A">
      <w:pPr>
        <w:spacing w:after="40"/>
      </w:pPr>
    </w:p>
    <w:p w14:paraId="36F6B8B5" w14:textId="77777777" w:rsidR="006E487A" w:rsidRDefault="006E487A"/>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EEBB138" w14:textId="77777777">
        <w:tc>
          <w:tcPr>
            <w:tcW w:w="9360" w:type="dxa"/>
            <w:shd w:val="clear" w:color="auto" w:fill="E7ECF3"/>
          </w:tcPr>
          <w:p w14:paraId="3218BA4B" w14:textId="77777777" w:rsidR="006E487A" w:rsidRDefault="00BA6D23">
            <w:pPr>
              <w:spacing w:after="40"/>
            </w:pPr>
            <w:r>
              <w:rPr>
                <w:b/>
                <w:color w:val="1A2B4A"/>
                <w:sz w:val="20"/>
              </w:rPr>
              <w:t>WHY AN ADMINISTRATIVE SOURCE RATHER THAN A BUSINESS DIRECTORY</w:t>
            </w:r>
          </w:p>
          <w:p w14:paraId="79AF8E1C" w14:textId="77777777" w:rsidR="006E487A" w:rsidRDefault="00BA6D23">
            <w:pPr>
              <w:spacing w:after="40"/>
            </w:pPr>
            <w:r>
              <w:rPr>
                <w:color w:val="1A2B4A"/>
              </w:rPr>
              <w:t>A commercial directory such as Yelp Fusion permits 5,000 requests per day, which puts acquisition of the retail-density feature on a three-day critical path and requires an API key that a replicator may not have. Census County Business Patterns provides establishment counts by ZIP and NAICS as a bulk download in minutes, with no key and no rate limit. It is also an administrative universe rather than a self-selected directory, which avoids a coverage bias that would otherwise have to be disclosed: directori</w:t>
            </w:r>
            <w:r>
              <w:rPr>
                <w:color w:val="1A2B4A"/>
              </w:rPr>
              <w:t>es under-represent minority-owned, cash and informal businesses, and if that under-representation correlates with ZCTA demographics the proxy inherits the bias.</w:t>
            </w:r>
          </w:p>
        </w:tc>
      </w:tr>
    </w:tbl>
    <w:p w14:paraId="12FAA4A9" w14:textId="77777777" w:rsidR="006E487A" w:rsidRDefault="006E487A">
      <w:pPr>
        <w:spacing w:after="40"/>
      </w:pPr>
    </w:p>
    <w:p w14:paraId="348BAFC7" w14:textId="77777777" w:rsidR="006E487A" w:rsidRDefault="006E487A"/>
    <w:p w14:paraId="6DE32A99" w14:textId="77777777" w:rsidR="006E487A" w:rsidRDefault="00BA6D23">
      <w:pPr>
        <w:pStyle w:val="Heading2"/>
      </w:pPr>
      <w:bookmarkStart w:id="21" w:name="_Toc239881127"/>
      <w:r>
        <w:t>4.2  Data currency and the reporting lag</w:t>
      </w:r>
      <w:bookmarkEnd w:id="21"/>
    </w:p>
    <w:p w14:paraId="3EE63076" w14:textId="77777777" w:rsidR="006E487A" w:rsidRDefault="00BA6D23">
      <w:r>
        <w:t>American Community Survey five-year estimates carry an 18 to 24 month reporting lag. Taken alone this would be a serious weakness in a model of decisions being made now. Three features of the design address it.</w:t>
      </w:r>
    </w:p>
    <w:p w14:paraId="1FDDE288" w14:textId="77777777" w:rsidR="006E487A" w:rsidRDefault="00BA6D23">
      <w:r>
        <w:t>First, and most importantly, the lag is shared with the decision-maker. Operators plan siting from the same public census releases; there is no private real-time census. Our disadvantage relative to an operator lies in order history, not in demographic covariates — which is precisely why the estimand in §4.3 is the siting decision rather than demand.</w:t>
      </w:r>
    </w:p>
    <w:p w14:paraId="1E482FB5" w14:textId="77777777" w:rsidR="006E487A" w:rsidRDefault="00BA6D23">
      <w:r>
        <w:t>Second, siting decisions have long lead times. Site search, lease negotiation, permitting, fitout and hiring together span roughly 18 to 36 months, so a facility opening in 2025 was decided in 2023 on 2021–22 covariates. Aligning covariate vintage to decision vintage is therefore correct specification. Using contemporaneous data to explain a decision taken two years earlier would introduce information the decision-maker did not have.</w:t>
      </w:r>
    </w:p>
    <w:p w14:paraId="525B045A" w14:textId="77777777" w:rsidR="006E487A" w:rsidRDefault="00BA6D23">
      <w:r>
        <w:t>Third, the covariates that genuinely move quickly are sourced quickly. Zillow rent and value indices are monthly; the Census Building Permits Survey is monthly and is a forward indicator, since construction precedes population; EIA prices are monthly; and ACS one-year estimates give metro-level context at roughly a nine-month lag. Slow sources supply level features and fast sources supply rate-of-change features, so the model observes trajectory rather than only position.</w:t>
      </w:r>
    </w:p>
    <w:p w14:paraId="08C2C31F" w14:textId="77777777" w:rsidR="006E487A" w:rsidRDefault="00BA6D23">
      <w:pPr>
        <w:jc w:val="center"/>
      </w:pPr>
      <w:r>
        <w:rPr>
          <w:noProof/>
        </w:rPr>
        <w:drawing>
          <wp:inline distT="0" distB="0" distL="0" distR="0" wp14:anchorId="17446C55" wp14:editId="36FCB44C">
            <wp:extent cx="5486400" cy="2807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12"/>
                    <a:stretch>
                      <a:fillRect/>
                    </a:stretch>
                  </pic:blipFill>
                  <pic:spPr>
                    <a:xfrm>
                      <a:off x="0" y="0"/>
                      <a:ext cx="5486400" cy="2807898"/>
                    </a:xfrm>
                    <a:prstGeom prst="rect">
                      <a:avLst/>
                    </a:prstGeom>
                  </pic:spPr>
                </pic:pic>
              </a:graphicData>
            </a:graphic>
          </wp:inline>
        </w:drawing>
      </w:r>
    </w:p>
    <w:p w14:paraId="32C4283F" w14:textId="77777777" w:rsidR="006E487A" w:rsidRDefault="00BA6D23">
      <w:r>
        <w:t>Figure 5.  Sources ordered by reporting lag, against the operator's own decision lead time.</w:t>
      </w:r>
    </w:p>
    <w:p w14:paraId="2A48C444" w14:textId="77777777" w:rsidR="006E487A" w:rsidRDefault="00BA6D23">
      <w:r>
        <w:t>The residual risk is stated rather than resolved: an area that changed sharply within the last eighteen months and generates no permit or rent signal will be misclassified. Where fast and slow signals disagree materially, the area is flagged as low-confidence in the application rather than silently ranked.</w:t>
      </w:r>
    </w:p>
    <w:p w14:paraId="449E3434" w14:textId="77777777" w:rsidR="006E487A" w:rsidRDefault="00BA6D23">
      <w:pPr>
        <w:pStyle w:val="Heading2"/>
      </w:pPr>
      <w:bookmarkStart w:id="22" w:name="_Toc239881128"/>
      <w:r>
        <w:t>4.3  The target variable</w:t>
      </w:r>
      <w:bookmarkEnd w:id="22"/>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178ED056" w14:textId="77777777">
        <w:tc>
          <w:tcPr>
            <w:tcW w:w="9360" w:type="dxa"/>
            <w:shd w:val="clear" w:color="auto" w:fill="E7ECF3"/>
          </w:tcPr>
          <w:p w14:paraId="04457E05" w14:textId="77777777" w:rsidR="006E487A" w:rsidRDefault="00BA6D23">
            <w:pPr>
              <w:spacing w:after="40"/>
            </w:pPr>
            <w:r>
              <w:rPr>
                <w:b/>
                <w:color w:val="1A2B4A"/>
                <w:sz w:val="20"/>
              </w:rPr>
              <w:t>WHY THE TARGET MUST BE OBSERVABLE</w:t>
            </w:r>
          </w:p>
          <w:p w14:paraId="79003219" w14:textId="77777777" w:rsidR="006E487A" w:rsidRDefault="00BA6D23">
            <w:pPr>
              <w:spacing w:after="40"/>
            </w:pPr>
            <w:r>
              <w:rPr>
                <w:color w:val="1A2B4A"/>
              </w:rPr>
              <w:t>The tempting alternative is to model order volume per ZCTA. Nobody outside the operator can observe it, so it would have to be constructed — typically by allocating disclosed aggregate volume across ZCTAs in proportion to demographics and retail density. A model of demographics and retail density would then be fitted to predict it. That target is built from its own predictors: any fit statistic measures how well the model reproduces the allocation arithmetic, and a good score is evidence of the defect rathe</w:t>
            </w:r>
            <w:r>
              <w:rPr>
                <w:color w:val="1A2B4A"/>
              </w:rPr>
              <w:t>r than of predictive skill. We do not do this.</w:t>
            </w:r>
          </w:p>
        </w:tc>
      </w:tr>
    </w:tbl>
    <w:p w14:paraId="5CDB3268" w14:textId="77777777" w:rsidR="006E487A" w:rsidRDefault="006E487A">
      <w:pPr>
        <w:spacing w:after="40"/>
      </w:pPr>
    </w:p>
    <w:p w14:paraId="60299E57" w14:textId="77777777" w:rsidR="006E487A" w:rsidRDefault="006E487A"/>
    <w:p w14:paraId="37AC5249" w14:textId="77777777" w:rsidR="006E487A" w:rsidRDefault="00BA6D23">
      <w:pPr>
        <w:jc w:val="center"/>
      </w:pPr>
      <w:r>
        <w:rPr>
          <w:noProof/>
        </w:rPr>
        <w:drawing>
          <wp:inline distT="0" distB="0" distL="0" distR="0" wp14:anchorId="179DA306" wp14:editId="1583E7BC">
            <wp:extent cx="5486400" cy="3045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png"/>
                    <pic:cNvPicPr/>
                  </pic:nvPicPr>
                  <pic:blipFill>
                    <a:blip r:embed="rId13"/>
                    <a:stretch>
                      <a:fillRect/>
                    </a:stretch>
                  </pic:blipFill>
                  <pic:spPr>
                    <a:xfrm>
                      <a:off x="0" y="0"/>
                      <a:ext cx="5486400" cy="3045737"/>
                    </a:xfrm>
                    <a:prstGeom prst="rect">
                      <a:avLst/>
                    </a:prstGeom>
                  </pic:spPr>
                </pic:pic>
              </a:graphicData>
            </a:graphic>
          </wp:inline>
        </w:drawing>
      </w:r>
    </w:p>
    <w:p w14:paraId="68DD9CD3" w14:textId="77777777" w:rsidR="006E487A" w:rsidRDefault="00BA6D23">
      <w:r>
        <w:t>Figure 6.  Left: the circularity that arises from a constructed target. Right: the observable estimand we use instead.</w:t>
      </w:r>
    </w:p>
    <w:p w14:paraId="18D6307C" w14:textId="77777777" w:rsidR="006E487A" w:rsidRDefault="00BA6D23">
      <w:r>
        <w:t>The primary outcome is now observable: for each ZCTA and quarter, whether the operator offered same-day service, and the quarter in which it first did. This is recoverable from the operator's public delivery-speed checker, from the public facility inventory with open dates, and from published expansion announcements.</w:t>
      </w:r>
    </w:p>
    <w:p w14:paraId="6C0EB2C0" w14:textId="77777777" w:rsidR="006E487A" w:rsidRDefault="00BA6D23">
      <w:r>
        <w:t>The zero-inflated negative binomial volume model is retained as a secondary analysis and relabelled honestly: it is a specification-recovery exercise that asks whether ZINB recovers a known data-generating process under realistic covariate structure. It is not a demand forecast, and every downstream net-present-value figure derived from it is labelled as conditional on the volume allocation assumption.</w:t>
      </w:r>
    </w:p>
    <w:p w14:paraId="0AEC6850" w14:textId="77777777" w:rsidR="006E487A" w:rsidRDefault="00BA6D23">
      <w:r>
        <w:t xml:space="preserve">Because facility open dates are the target rather than a covariate, their quality is a first-order concern and is treated as a measurement problem in its own right. Four steps apply. A random sample of 100 facilities is hand-verified against filings and local press, and the measured error rate is reported alongside every accuracy figure. Dates confirmed by two independent sources are marked high-confidence; single-source dates are flagged. Outcomes are modelled at quarterly rather than monthly grain, which </w:t>
      </w:r>
      <w:r>
        <w:t>is robust to date noise and sufficient for a decision with an eighteen-month horizon. And where the operator's own delivery-availability check can be queried directly, it is preferred over inferring service from a building.</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183C8094" w14:textId="77777777">
        <w:tc>
          <w:tcPr>
            <w:tcW w:w="9360" w:type="dxa"/>
            <w:shd w:val="clear" w:color="auto" w:fill="E7ECF3"/>
          </w:tcPr>
          <w:p w14:paraId="2A6A8295" w14:textId="77777777" w:rsidR="006E487A" w:rsidRDefault="00BA6D23">
            <w:pPr>
              <w:spacing w:after="40"/>
            </w:pPr>
            <w:r>
              <w:rPr>
                <w:b/>
                <w:color w:val="1A2B4A"/>
                <w:sz w:val="20"/>
              </w:rPr>
              <w:t>BOUNDING THE DAMAGE RATHER THAN HOPING</w:t>
            </w:r>
          </w:p>
          <w:p w14:paraId="53204679" w14:textId="77777777" w:rsidR="006E487A" w:rsidRDefault="00BA6D23">
            <w:pPr>
              <w:spacing w:after="40"/>
            </w:pPr>
            <w:r>
              <w:rPr>
                <w:color w:val="1A2B4A"/>
              </w:rPr>
              <w:t>An unmeasured label-error rate makes a headline accuracy figure uninterpretable. We therefore run a label-noise simulation: deliberately corrupt a known fraction of open dates by plus or minus one quarter and re-run the backtest. This converts an unknown into a bound, producing statements of the form 'at a 15 per cent date-error rate, measured AUC degrades from 0.84 to 0.81'. The simulation result is reported with the headline metric.</w:t>
            </w:r>
          </w:p>
        </w:tc>
      </w:tr>
    </w:tbl>
    <w:p w14:paraId="641D6177" w14:textId="77777777" w:rsidR="006E487A" w:rsidRDefault="006E487A">
      <w:pPr>
        <w:spacing w:after="40"/>
      </w:pPr>
    </w:p>
    <w:p w14:paraId="5630F8CE" w14:textId="77777777" w:rsidR="006E487A" w:rsidRDefault="006E487A"/>
    <w:p w14:paraId="2FC5EA3A" w14:textId="77777777" w:rsidR="006E487A" w:rsidRDefault="00BA6D23">
      <w:pPr>
        <w:pStyle w:val="Heading2"/>
      </w:pPr>
      <w:bookmarkStart w:id="23" w:name="_Toc239881129"/>
      <w:r>
        <w:t>4.4  Sampling frame</w:t>
      </w:r>
      <w:bookmarkEnd w:id="23"/>
    </w:p>
    <w:p w14:paraId="56B7826B" w14:textId="77777777" w:rsidR="006E487A" w:rsidRDefault="00BA6D23">
      <w:r>
        <w:t>Causal estimation requires treated and control structure and is conducted on ten pilot metros comprising approximately 5,200 ZCTAs: San Francisco Bay Area, New York, Chicago, Austin, Seattle, Denver, Miami, Nashville, Phoenix and Boise. Phoenix and Boise are withheld from training and used only for out-of-metro validation.</w:t>
      </w:r>
    </w:p>
    <w:p w14:paraId="59132A6C" w14:textId="77777777" w:rsidR="006E487A" w:rsidRDefault="00BA6D23">
      <w:r>
        <w:t>The siting propensity model is additionally fitted across all 33,000 US ZCTAs. Because the analytical panel is small, national coverage costs approximately 0.46 GB and roughly one day of work — scope that would be unaffordable if the project were structured around large data.</w:t>
      </w:r>
    </w:p>
    <w:p w14:paraId="4F4F4C1F" w14:textId="77777777" w:rsidR="006E487A" w:rsidRDefault="00BA6D23">
      <w:pPr>
        <w:pStyle w:val="Heading2"/>
      </w:pPr>
      <w:bookmarkStart w:id="24" w:name="_Toc239881130"/>
      <w:r>
        <w:t>4.5  Limitations and mitigations</w:t>
      </w:r>
      <w:bookmarkEnd w:id="24"/>
    </w:p>
    <w:p w14:paraId="302827C4" w14:textId="77777777" w:rsidR="006E487A" w:rsidRDefault="00BA6D23">
      <w:r>
        <w:t>Every limitation below is paired with the mitigation applied and the risk that remains after it. Four limitations at the end of this section have no mitigation; stating that plainly is what makes the others credible.</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54681249" w14:textId="77777777">
        <w:trPr>
          <w:tblHeader/>
        </w:trPr>
        <w:tc>
          <w:tcPr>
            <w:tcW w:w="3120" w:type="dxa"/>
            <w:shd w:val="clear" w:color="auto" w:fill="1A2B4A"/>
            <w:vAlign w:val="center"/>
          </w:tcPr>
          <w:p w14:paraId="0F8A5044" w14:textId="77777777" w:rsidR="006E487A" w:rsidRDefault="00BA6D23">
            <w:pPr>
              <w:spacing w:after="40"/>
            </w:pPr>
            <w:r>
              <w:rPr>
                <w:b/>
                <w:color w:val="FFFFFF"/>
                <w:sz w:val="20"/>
              </w:rPr>
              <w:t>Limitation</w:t>
            </w:r>
          </w:p>
        </w:tc>
        <w:tc>
          <w:tcPr>
            <w:tcW w:w="3120" w:type="dxa"/>
            <w:shd w:val="clear" w:color="auto" w:fill="1A2B4A"/>
            <w:vAlign w:val="center"/>
          </w:tcPr>
          <w:p w14:paraId="4835EDCF" w14:textId="77777777" w:rsidR="006E487A" w:rsidRDefault="00BA6D23">
            <w:pPr>
              <w:spacing w:after="40"/>
            </w:pPr>
            <w:r>
              <w:rPr>
                <w:b/>
                <w:color w:val="FFFFFF"/>
                <w:sz w:val="20"/>
              </w:rPr>
              <w:t>Mitigation applied</w:t>
            </w:r>
          </w:p>
        </w:tc>
        <w:tc>
          <w:tcPr>
            <w:tcW w:w="3120" w:type="dxa"/>
            <w:shd w:val="clear" w:color="auto" w:fill="1A2B4A"/>
            <w:vAlign w:val="center"/>
          </w:tcPr>
          <w:p w14:paraId="57F10560" w14:textId="77777777" w:rsidR="006E487A" w:rsidRDefault="00BA6D23">
            <w:pPr>
              <w:spacing w:after="40"/>
            </w:pPr>
            <w:r>
              <w:rPr>
                <w:b/>
                <w:color w:val="FFFFFF"/>
                <w:sz w:val="20"/>
              </w:rPr>
              <w:t>Residual risk</w:t>
            </w:r>
          </w:p>
        </w:tc>
      </w:tr>
      <w:tr w:rsidR="006E487A" w14:paraId="357F739D" w14:textId="77777777">
        <w:tc>
          <w:tcPr>
            <w:tcW w:w="3120" w:type="dxa"/>
            <w:vAlign w:val="center"/>
          </w:tcPr>
          <w:p w14:paraId="37924F44" w14:textId="77777777" w:rsidR="006E487A" w:rsidRDefault="00BA6D23">
            <w:pPr>
              <w:spacing w:after="40"/>
            </w:pPr>
            <w:r>
              <w:rPr>
                <w:color w:val="1A2B4A"/>
                <w:sz w:val="20"/>
              </w:rPr>
              <w:t>ACS reporting lag of 18–24 months</w:t>
            </w:r>
          </w:p>
        </w:tc>
        <w:tc>
          <w:tcPr>
            <w:tcW w:w="3120" w:type="dxa"/>
            <w:vAlign w:val="center"/>
          </w:tcPr>
          <w:p w14:paraId="02F7A7E4" w14:textId="77777777" w:rsidR="006E487A" w:rsidRDefault="00BA6D23">
            <w:pPr>
              <w:spacing w:after="40"/>
            </w:pPr>
            <w:r>
              <w:rPr>
                <w:color w:val="1A2B4A"/>
                <w:sz w:val="20"/>
              </w:rPr>
              <w:t>Lag is shared with the decision-maker and aligned to decision lead time; ACS 1-year metro context; monthly permits, rents and energy prices supply rate-of-change features (§4.2)</w:t>
            </w:r>
          </w:p>
        </w:tc>
        <w:tc>
          <w:tcPr>
            <w:tcW w:w="3120" w:type="dxa"/>
            <w:vAlign w:val="center"/>
          </w:tcPr>
          <w:p w14:paraId="71F0948A" w14:textId="77777777" w:rsidR="006E487A" w:rsidRDefault="00BA6D23">
            <w:pPr>
              <w:spacing w:after="40"/>
            </w:pPr>
            <w:r>
              <w:rPr>
                <w:color w:val="1A2B4A"/>
                <w:sz w:val="20"/>
              </w:rPr>
              <w:t>Sharp recent change with no permit or rent signal; flagged low-confidence</w:t>
            </w:r>
          </w:p>
        </w:tc>
      </w:tr>
      <w:tr w:rsidR="006E487A" w14:paraId="02A5CC61" w14:textId="77777777">
        <w:tc>
          <w:tcPr>
            <w:tcW w:w="3120" w:type="dxa"/>
            <w:vAlign w:val="center"/>
          </w:tcPr>
          <w:p w14:paraId="758313CA" w14:textId="77777777" w:rsidR="006E487A" w:rsidRDefault="00BA6D23">
            <w:pPr>
              <w:spacing w:after="40"/>
            </w:pPr>
            <w:r>
              <w:rPr>
                <w:color w:val="1A2B4A"/>
                <w:sz w:val="20"/>
              </w:rPr>
              <w:t>Facility open dates may be inaccurate</w:t>
            </w:r>
          </w:p>
        </w:tc>
        <w:tc>
          <w:tcPr>
            <w:tcW w:w="3120" w:type="dxa"/>
            <w:vAlign w:val="center"/>
          </w:tcPr>
          <w:p w14:paraId="409B30B5" w14:textId="77777777" w:rsidR="006E487A" w:rsidRDefault="00BA6D23">
            <w:pPr>
              <w:spacing w:after="40"/>
            </w:pPr>
            <w:r>
              <w:rPr>
                <w:color w:val="1A2B4A"/>
                <w:sz w:val="20"/>
              </w:rPr>
              <w:t>100-facility hand verification with published error rate; two-source confirmation; quarterly grain; label-noise simulation bounding the effect on AUC (§4.3)</w:t>
            </w:r>
          </w:p>
        </w:tc>
        <w:tc>
          <w:tcPr>
            <w:tcW w:w="3120" w:type="dxa"/>
            <w:vAlign w:val="center"/>
          </w:tcPr>
          <w:p w14:paraId="1CA86134" w14:textId="77777777" w:rsidR="006E487A" w:rsidRDefault="00BA6D23">
            <w:pPr>
              <w:spacing w:after="40"/>
            </w:pPr>
            <w:r>
              <w:rPr>
                <w:color w:val="1A2B4A"/>
                <w:sz w:val="20"/>
              </w:rPr>
              <w:t>Small delivery stations under-reported relative to large facilities</w:t>
            </w:r>
          </w:p>
        </w:tc>
      </w:tr>
      <w:tr w:rsidR="006E487A" w14:paraId="46D68980" w14:textId="77777777">
        <w:tc>
          <w:tcPr>
            <w:tcW w:w="3120" w:type="dxa"/>
            <w:vAlign w:val="center"/>
          </w:tcPr>
          <w:p w14:paraId="2D9E5977" w14:textId="77777777" w:rsidR="006E487A" w:rsidRDefault="00BA6D23">
            <w:pPr>
              <w:spacing w:after="40"/>
            </w:pPr>
            <w:r>
              <w:rPr>
                <w:color w:val="1A2B4A"/>
                <w:sz w:val="20"/>
              </w:rPr>
              <w:t>Large ACS margins of error at ZCTA grain</w:t>
            </w:r>
          </w:p>
        </w:tc>
        <w:tc>
          <w:tcPr>
            <w:tcW w:w="3120" w:type="dxa"/>
            <w:vAlign w:val="center"/>
          </w:tcPr>
          <w:p w14:paraId="2EDAF4DD" w14:textId="77777777" w:rsidR="006E487A" w:rsidRDefault="00BA6D23">
            <w:pPr>
              <w:spacing w:after="40"/>
            </w:pPr>
            <w:r>
              <w:rPr>
                <w:color w:val="1A2B4A"/>
                <w:sz w:val="20"/>
              </w:rPr>
              <w:t>Published margins propagated into the Monte Carlo as an uncertainty input rather than discarded; high-margin areas flagged</w:t>
            </w:r>
          </w:p>
        </w:tc>
        <w:tc>
          <w:tcPr>
            <w:tcW w:w="3120" w:type="dxa"/>
            <w:vAlign w:val="center"/>
          </w:tcPr>
          <w:p w14:paraId="20F08978" w14:textId="77777777" w:rsidR="006E487A" w:rsidRDefault="00BA6D23">
            <w:pPr>
              <w:spacing w:after="40"/>
            </w:pPr>
            <w:r>
              <w:rPr>
                <w:color w:val="1A2B4A"/>
                <w:sz w:val="20"/>
              </w:rPr>
              <w:t>Small-population areas remain noisy</w:t>
            </w:r>
          </w:p>
        </w:tc>
      </w:tr>
      <w:tr w:rsidR="006E487A" w14:paraId="610CEB13" w14:textId="77777777">
        <w:tc>
          <w:tcPr>
            <w:tcW w:w="3120" w:type="dxa"/>
            <w:vAlign w:val="center"/>
          </w:tcPr>
          <w:p w14:paraId="2F65C33A" w14:textId="77777777" w:rsidR="006E487A" w:rsidRDefault="00BA6D23">
            <w:pPr>
              <w:spacing w:after="40"/>
            </w:pPr>
            <w:r>
              <w:rPr>
                <w:color w:val="1A2B4A"/>
                <w:sz w:val="20"/>
              </w:rPr>
              <w:t>Modifiable areal unit problem (Openshaw, 1984)</w:t>
            </w:r>
          </w:p>
        </w:tc>
        <w:tc>
          <w:tcPr>
            <w:tcW w:w="3120" w:type="dxa"/>
            <w:vAlign w:val="center"/>
          </w:tcPr>
          <w:p w14:paraId="6DFF45BC" w14:textId="77777777" w:rsidR="006E487A" w:rsidRDefault="00BA6D23">
            <w:pPr>
              <w:spacing w:after="40"/>
            </w:pPr>
            <w:r>
              <w:rPr>
                <w:color w:val="1A2B4A"/>
                <w:sz w:val="20"/>
              </w:rPr>
              <w:t>One vintage pinned and crosswalked; ZCTA count enforced by data contract; conclusions re-run at H3 hexagonal grain</w:t>
            </w:r>
          </w:p>
        </w:tc>
        <w:tc>
          <w:tcPr>
            <w:tcW w:w="3120" w:type="dxa"/>
            <w:vAlign w:val="center"/>
          </w:tcPr>
          <w:p w14:paraId="752329F1" w14:textId="77777777" w:rsidR="006E487A" w:rsidRDefault="00BA6D23">
            <w:pPr>
              <w:spacing w:after="40"/>
            </w:pPr>
            <w:r>
              <w:rPr>
                <w:color w:val="1A2B4A"/>
                <w:sz w:val="20"/>
              </w:rPr>
              <w:t>H3 and ZCTA may disagree, in which case both are reported</w:t>
            </w:r>
          </w:p>
        </w:tc>
      </w:tr>
      <w:tr w:rsidR="006E487A" w14:paraId="3D71ACDD" w14:textId="77777777">
        <w:tc>
          <w:tcPr>
            <w:tcW w:w="3120" w:type="dxa"/>
            <w:vAlign w:val="center"/>
          </w:tcPr>
          <w:p w14:paraId="47A320BA" w14:textId="77777777" w:rsidR="006E487A" w:rsidRDefault="00BA6D23">
            <w:pPr>
              <w:spacing w:after="40"/>
            </w:pPr>
            <w:r>
              <w:rPr>
                <w:color w:val="1A2B4A"/>
                <w:sz w:val="20"/>
              </w:rPr>
              <w:t>Donor-pool scarcity in saturated metros</w:t>
            </w:r>
          </w:p>
        </w:tc>
        <w:tc>
          <w:tcPr>
            <w:tcW w:w="3120" w:type="dxa"/>
            <w:vAlign w:val="center"/>
          </w:tcPr>
          <w:p w14:paraId="582B5DD4" w14:textId="77777777" w:rsidR="006E487A" w:rsidRDefault="00BA6D23">
            <w:pPr>
              <w:spacing w:after="40"/>
            </w:pPr>
            <w:r>
              <w:rPr>
                <w:color w:val="1A2B4A"/>
                <w:sz w:val="20"/>
              </w:rPr>
              <w:t>Contamination defined by the measured decay radius rather than by contiguity, recovering donors a conservative rule discards; staggered adoption uses later-treated units as earlier controls; cross-metro donors permitted; donor weight concentration reported</w:t>
            </w:r>
          </w:p>
        </w:tc>
        <w:tc>
          <w:tcPr>
            <w:tcW w:w="3120" w:type="dxa"/>
            <w:vAlign w:val="center"/>
          </w:tcPr>
          <w:p w14:paraId="12BB7B30" w14:textId="77777777" w:rsidR="006E487A" w:rsidRDefault="00BA6D23">
            <w:pPr>
              <w:spacing w:after="40"/>
            </w:pPr>
            <w:r>
              <w:rPr>
                <w:color w:val="1A2B4A"/>
                <w:sz w:val="20"/>
              </w:rPr>
              <w:t>Most saturated metros may be reported as not estimable</w:t>
            </w:r>
          </w:p>
        </w:tc>
      </w:tr>
      <w:tr w:rsidR="006E487A" w14:paraId="7E095C9C" w14:textId="77777777">
        <w:tc>
          <w:tcPr>
            <w:tcW w:w="3120" w:type="dxa"/>
            <w:vAlign w:val="center"/>
          </w:tcPr>
          <w:p w14:paraId="4D017E9D" w14:textId="77777777" w:rsidR="006E487A" w:rsidRDefault="00BA6D23">
            <w:pPr>
              <w:spacing w:after="40"/>
            </w:pPr>
            <w:r>
              <w:rPr>
                <w:color w:val="1A2B4A"/>
                <w:sz w:val="20"/>
              </w:rPr>
              <w:t>Machine-extracted facility attributes are generated regressors (Pagan, 1984)</w:t>
            </w:r>
          </w:p>
        </w:tc>
        <w:tc>
          <w:tcPr>
            <w:tcW w:w="3120" w:type="dxa"/>
            <w:vAlign w:val="center"/>
          </w:tcPr>
          <w:p w14:paraId="4D632F31" w14:textId="77777777" w:rsidR="006E487A" w:rsidRDefault="00BA6D23">
            <w:pPr>
              <w:spacing w:after="40"/>
            </w:pPr>
            <w:r>
              <w:rPr>
                <w:color w:val="1A2B4A"/>
                <w:sz w:val="20"/>
              </w:rPr>
              <w:t>Design-based supervised learning (Egami et al., 2023) using the hand-labelled sample above as the correction set</w:t>
            </w:r>
          </w:p>
        </w:tc>
        <w:tc>
          <w:tcPr>
            <w:tcW w:w="3120" w:type="dxa"/>
            <w:vAlign w:val="center"/>
          </w:tcPr>
          <w:p w14:paraId="711642B0" w14:textId="77777777" w:rsidR="006E487A" w:rsidRDefault="00BA6D23">
            <w:pPr>
              <w:spacing w:after="40"/>
            </w:pPr>
            <w:r>
              <w:rPr>
                <w:color w:val="1A2B4A"/>
                <w:sz w:val="20"/>
              </w:rPr>
              <w:t>None material once corrected</w:t>
            </w:r>
          </w:p>
        </w:tc>
      </w:tr>
      <w:tr w:rsidR="006E487A" w14:paraId="48BD8F28" w14:textId="77777777">
        <w:tc>
          <w:tcPr>
            <w:tcW w:w="3120" w:type="dxa"/>
            <w:vAlign w:val="center"/>
          </w:tcPr>
          <w:p w14:paraId="4832C47B" w14:textId="77777777" w:rsidR="006E487A" w:rsidRDefault="00BA6D23">
            <w:pPr>
              <w:spacing w:after="40"/>
            </w:pPr>
            <w:r>
              <w:rPr>
                <w:color w:val="1A2B4A"/>
                <w:sz w:val="20"/>
              </w:rPr>
              <w:t>Residential indices proxy commercial land cost</w:t>
            </w:r>
          </w:p>
        </w:tc>
        <w:tc>
          <w:tcPr>
            <w:tcW w:w="3120" w:type="dxa"/>
            <w:vAlign w:val="center"/>
          </w:tcPr>
          <w:p w14:paraId="5EA88D9B" w14:textId="77777777" w:rsidR="006E487A" w:rsidRDefault="00BA6D23">
            <w:pPr>
              <w:spacing w:after="40"/>
            </w:pPr>
            <w:r>
              <w:rPr>
                <w:color w:val="1A2B4A"/>
                <w:sz w:val="20"/>
              </w:rPr>
              <w:t>Composite validated externally against disclosed capital expenditure; per-proxy sensitivity reported (§5.5)</w:t>
            </w:r>
          </w:p>
        </w:tc>
        <w:tc>
          <w:tcPr>
            <w:tcW w:w="3120" w:type="dxa"/>
            <w:vAlign w:val="center"/>
          </w:tcPr>
          <w:p w14:paraId="034D54DF" w14:textId="77777777" w:rsidR="006E487A" w:rsidRDefault="00BA6D23">
            <w:pPr>
              <w:spacing w:after="40"/>
            </w:pPr>
            <w:r>
              <w:rPr>
                <w:color w:val="1A2B4A"/>
                <w:sz w:val="20"/>
              </w:rPr>
              <w:t>A proxy biased in a way correlated with the outcome</w:t>
            </w:r>
          </w:p>
        </w:tc>
      </w:tr>
    </w:tbl>
    <w:p w14:paraId="2B29C874" w14:textId="77777777" w:rsidR="006E487A" w:rsidRDefault="006E487A">
      <w:pPr>
        <w:spacing w:after="40"/>
      </w:pPr>
    </w:p>
    <w:p w14:paraId="7CFBC93A" w14:textId="77777777" w:rsidR="006E487A" w:rsidRDefault="006E487A"/>
    <w:p w14:paraId="6263B406" w14:textId="77777777" w:rsidR="006E487A" w:rsidRDefault="00BA6D23">
      <w:r>
        <w:t>Four limitations admit no mitigation and are therefore not mitigated. Order volume, revenue and margin are unobservable in public data, so no accuracy claim is made on dollar figures and results are reported in units of contribution margin (§5.6). The cannibalization coefficient cannot be validated against any public number; we report the placebo distribution and confidence bands and claim identification under stated assumptions rather than correctness. Internal constraints — existing lease obligations, cap</w:t>
      </w:r>
      <w:r>
        <w:t>ital rationing, executive preference — are invisible, which is why output is framed as operator-consistent desirability. And it is possible that public data has an accuracy ceiling below what the decision requires; that possibility is RQ4, and a negative answer is reported as a finding rather than suppressed.</w:t>
      </w:r>
    </w:p>
    <w:p w14:paraId="25FE310F" w14:textId="77777777" w:rsidR="006E487A" w:rsidRDefault="00BA6D23">
      <w:pPr>
        <w:pStyle w:val="Heading2"/>
      </w:pPr>
      <w:bookmarkStart w:id="25" w:name="_Toc239881131"/>
      <w:r>
        <w:t>4.6  Identification strategy and selection</w:t>
      </w:r>
      <w:bookmarkEnd w:id="25"/>
    </w:p>
    <w:p w14:paraId="23ACCEFD" w14:textId="77777777" w:rsidR="006E487A" w:rsidRDefault="00BA6D23">
      <w:r>
        <w:t>Observed service enablement is not a random sample of latent viability. Operators build where they judge it commercially sensible, and the areas they skipped are not a randomised counterfactual. Ignoring this would let the model confound viability with revealed selection preference.</w:t>
      </w:r>
    </w:p>
    <w:p w14:paraId="378D7EC7" w14:textId="77777777" w:rsidR="006E487A" w:rsidRDefault="00BA6D23">
      <w:r>
        <w:t>For the San Francisco Bay pilot metro we implement the full Heckman (1979) two-step correction. The selection equation is a probit over all Bay Area ZCTAs predicting whether a node touching that ZCTA was opened, using the demand covariates plus one instrument: distance to the nearest commercially zoned ZIP centroid. The outcome equation is augmented with the inverse Mills ratio. Corrected and naive coefficients are both reported so the difference is visible, along with the first-stage F-statistic.</w:t>
      </w:r>
    </w:p>
    <w:p w14:paraId="4A455AFB" w14:textId="77777777" w:rsidR="006E487A" w:rsidRDefault="00BA6D23">
      <w:r>
        <w:t>The exclusion restriction deserves scrutiny rather than assertion. Commercial-zoning proximity plausibly affects an operator's siting decision, but it also correlates with retail agglomeration, employment density and traffic, each of which could drive residential demand directly. We therefore report a sensitivity analysis showing how the corrected coefficients move under small assumed direct effects of the instrument, and we state the residual risk rather than claiming the restriction is satisfied.</w:t>
      </w:r>
    </w:p>
    <w:p w14:paraId="61C01BFC" w14:textId="77777777" w:rsidR="006E487A" w:rsidRDefault="00BA6D23">
      <w:r>
        <w:t>Formal correction on all ten metros is out of scope for an eight-week project. For the remaining nine, coefficients are reported with an explicit footnote that they embed the operator's selection preference. Extending the correction via causal forests or double machine learning is named as future work.</w:t>
      </w:r>
    </w:p>
    <w:p w14:paraId="21FE735B" w14:textId="77777777" w:rsidR="006E487A" w:rsidRDefault="00BA6D23">
      <w:r>
        <w:t>Finally, an equity audit stratifies results by ZCTA majority-demographic group and reports per-stratum metrics. Where a stratum's error exceeds the population error by more than 50%, the application displays a reliability warning for that context. This is aggregate-only reporting; no demographic classification enters any model input.</w:t>
      </w:r>
    </w:p>
    <w:p w14:paraId="399C379C" w14:textId="77777777" w:rsidR="006E487A" w:rsidRDefault="006E487A"/>
    <w:p w14:paraId="390E3570" w14:textId="77777777" w:rsidR="006E487A" w:rsidRDefault="00BA6D23">
      <w:pPr>
        <w:pStyle w:val="Heading1"/>
      </w:pPr>
      <w:bookmarkStart w:id="26" w:name="_Toc239881132"/>
      <w:r>
        <w:t>5.  Proposed Methods</w:t>
      </w:r>
      <w:bookmarkEnd w:id="26"/>
    </w:p>
    <w:p w14:paraId="7124D463" w14:textId="77777777" w:rsidR="006E487A" w:rsidRDefault="00BA6D23">
      <w:pPr>
        <w:pStyle w:val="Heading2"/>
      </w:pPr>
      <w:bookmarkStart w:id="27" w:name="_Toc239881133"/>
      <w:r>
        <w:t>5.1  System architecture</w:t>
      </w:r>
      <w:bookmarkEnd w:id="27"/>
    </w:p>
    <w:p w14:paraId="2CF4DDD7" w14:textId="77777777" w:rsidR="006E487A" w:rsidRDefault="00BA6D23">
      <w:r>
        <w:t>The system decomposes into a public-source ingest layer, a dimensional warehouse, four coupled analytical models, a decision layer, and two delivery surfaces — one for operators and one for public planning.</w:t>
      </w:r>
    </w:p>
    <w:p w14:paraId="48EF4EF5" w14:textId="77777777" w:rsidR="006E487A" w:rsidRDefault="00BA6D23">
      <w:pPr>
        <w:jc w:val="center"/>
      </w:pPr>
      <w:r>
        <w:rPr>
          <w:noProof/>
        </w:rPr>
        <w:drawing>
          <wp:inline distT="0" distB="0" distL="0" distR="0" wp14:anchorId="005DE6E0" wp14:editId="2D6ECF1B">
            <wp:extent cx="5486400" cy="37427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14"/>
                    <a:stretch>
                      <a:fillRect/>
                    </a:stretch>
                  </pic:blipFill>
                  <pic:spPr>
                    <a:xfrm>
                      <a:off x="0" y="0"/>
                      <a:ext cx="5486400" cy="3742769"/>
                    </a:xfrm>
                    <a:prstGeom prst="rect">
                      <a:avLst/>
                    </a:prstGeom>
                  </pic:spPr>
                </pic:pic>
              </a:graphicData>
            </a:graphic>
          </wp:inline>
        </w:drawing>
      </w:r>
    </w:p>
    <w:p w14:paraId="1FB4DC48" w14:textId="77777777" w:rsidR="006E487A" w:rsidRDefault="00BA6D23">
      <w:r>
        <w:t>Figure 7.  End-to-end architecture, from public sources through the warehouse and analytical models to the two delivery surfaces.</w:t>
      </w:r>
    </w:p>
    <w:p w14:paraId="7873705F" w14:textId="77777777" w:rsidR="006E487A" w:rsidRDefault="00BA6D23">
      <w:pPr>
        <w:pStyle w:val="Heading2"/>
      </w:pPr>
      <w:bookmarkStart w:id="28" w:name="_Toc239881134"/>
      <w:r>
        <w:t>5.2  Dimensional warehouse</w:t>
      </w:r>
      <w:bookmarkEnd w:id="28"/>
    </w:p>
    <w:p w14:paraId="7FAAF1E1" w14:textId="77777777" w:rsidR="006E487A" w:rsidRDefault="00BA6D23">
      <w:r>
        <w:t>The DuckDB warehouse is a Kimball-style star schema. DuckDB is chosen because columnar vectorised execution suits the analytical queries the application issues, its spatial extension provides PostGIS-compatible functions natively, and the entire warehouse is a single portable file — which is what makes peer-review reproduction feasible.</w:t>
      </w:r>
    </w:p>
    <w:p w14:paraId="5C0E513A" w14:textId="77777777" w:rsidR="006E487A" w:rsidRDefault="00BA6D23">
      <w:pPr>
        <w:jc w:val="center"/>
      </w:pPr>
      <w:r>
        <w:rPr>
          <w:noProof/>
        </w:rPr>
        <w:drawing>
          <wp:inline distT="0" distB="0" distL="0" distR="0" wp14:anchorId="0F0C0D57" wp14:editId="5C686BE4">
            <wp:extent cx="5486400" cy="3787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15"/>
                    <a:stretch>
                      <a:fillRect/>
                    </a:stretch>
                  </pic:blipFill>
                  <pic:spPr>
                    <a:xfrm>
                      <a:off x="0" y="0"/>
                      <a:ext cx="5486400" cy="3787695"/>
                    </a:xfrm>
                    <a:prstGeom prst="rect">
                      <a:avLst/>
                    </a:prstGeom>
                  </pic:spPr>
                </pic:pic>
              </a:graphicData>
            </a:graphic>
          </wp:inline>
        </w:drawing>
      </w:r>
    </w:p>
    <w:p w14:paraId="2C4F0E17" w14:textId="77777777" w:rsidR="006E487A" w:rsidRDefault="00BA6D23">
      <w:r>
        <w:t>Figure 8.  Star schema. The scenario dimension is what makes auditability real rather than nominal.</w:t>
      </w:r>
    </w:p>
    <w:p w14:paraId="6FDC5109" w14:textId="77777777" w:rsidR="006E487A" w:rsidRDefault="00BA6D23">
      <w:r>
        <w:t>The scenario dimension deserves comment. Every agent-proposed mutation of the spatial weight matrix creates a scenario row recording which matrix version, which mutation and which random seed produced a given result. Any published number can therefore be replayed exactly. Without this, a system whose parameters change in response to text is not auditable in any meaningful sense.</w:t>
      </w:r>
    </w:p>
    <w:p w14:paraId="721DA773" w14:textId="77777777" w:rsidR="006E487A" w:rsidRDefault="00BA6D23">
      <w:pPr>
        <w:pStyle w:val="Heading2"/>
      </w:pPr>
      <w:bookmarkStart w:id="29" w:name="_Toc239881135"/>
      <w:r>
        <w:t>5.3  Siting and timing model</w:t>
      </w:r>
      <w:bookmarkEnd w:id="29"/>
    </w:p>
    <w:p w14:paraId="76ADD73E" w14:textId="77777777" w:rsidR="006E487A" w:rsidRDefault="00BA6D23">
      <w:r>
        <w:t>For ZCTA i in quarter t, let the hazard of first enablement be modelled as a complementary log-log discrete-time hazard over covariates x, with metro random effects and a flexible baseline in time since the nearest node opened. Estimation is by penalised maximum likelihood with the seed recorded in the reproducibility manifest.</w:t>
      </w:r>
    </w:p>
    <w:p w14:paraId="06275818" w14:textId="77777777" w:rsidR="006E487A" w:rsidRDefault="00BA6D23">
      <w:r>
        <w:t>Three secondary models are retained. The zero-inflated negative binomial volume model (Lambert, 1992; Cameron and Trivedi, 2013), framed per §4.2 as specification recovery. A Huff gravity pull factor (Huff, 1964, after Reilly, 1931) with the distance-decay exponent fixed at 2.0 per the retail-geography literature, so it cannot be tuned to the data. And a LightGBM benchmark (Ke et al., 2017), chosen over XGBoost (Chen and Guestrin, 2016) for its native handling of high-cardinality categoricals, with SHAP attribution (Lundberg and Lee, 2017), whose purpose is convergent validity: if a parametric hazard model and a non-parametric tree ensemble rank the same areas highly, the</w:t>
      </w:r>
      <w:r>
        <w:t xml:space="preserve"> ranking is unlikely to be an artefact of functional form.</w:t>
      </w:r>
    </w:p>
    <w:p w14:paraId="2E6B39DB" w14:textId="77777777" w:rsidR="006E487A" w:rsidRDefault="00BA6D23">
      <w:r>
        <w:t>Two features of the input data are carried explicitly rather than discarded. Census margins of error, published for every estimate and routinely ignored, enter the uncertainty model as an input, so that two areas whose reported incomes differ by less than their margins are not treated as reliably ordered. And the monthly sources of §4.2 contribute rate-of-change features alongside the lagged levels, allowing the model to observe trajectory.</w:t>
      </w:r>
    </w:p>
    <w:p w14:paraId="629755AE" w14:textId="77777777" w:rsidR="006E487A" w:rsidRDefault="00BA6D23">
      <w:r>
        <w:t>Uncertainty is quantified by split conformal prediction (Angelopoulos and Bates, 2021), which provides distribution-free, finite-sample coverage. This matters because it converts a claim about intervals into a verified measurement: we report the proportion of held-out ZCTAs actually covered by the nominal 90% interval, rather than assuming the model's own variance estimates are correct.</w:t>
      </w:r>
    </w:p>
    <w:p w14:paraId="62BEED38" w14:textId="77777777" w:rsidR="006E487A" w:rsidRDefault="00BA6D23">
      <w:pPr>
        <w:pStyle w:val="Heading2"/>
      </w:pPr>
      <w:bookmarkStart w:id="30" w:name="_Toc239881136"/>
      <w:r>
        <w:t>5.4  Cannibalization and the spatial weight matrix</w:t>
      </w:r>
      <w:bookmarkEnd w:id="30"/>
    </w:p>
    <w:p w14:paraId="519F6498" w14:textId="77777777" w:rsidR="006E487A" w:rsidRDefault="00BA6D23">
      <w:r>
        <w:t>Following Abadie et al. (2010), the counterfactual for a treated ZCTA is a convex combination of donor-pool areas with weights chosen to minimise pre-treatment fit error. Inference is by in-space and in-time placebo permutation, reporting the post/pre RMSPE ratio and its rank among placebos.</w:t>
      </w:r>
    </w:p>
    <w:p w14:paraId="6AE30098" w14:textId="77777777" w:rsidR="006E487A" w:rsidRDefault="00BA6D23">
      <w:r>
        <w:t>Rather than assuming a spillover structure, we estimate it. Using Pollmann's distance-band approach, the treatment effect is estimated separately within concentric rings around each activated ZCTA, producing a decay curve with confidence bands.</w:t>
      </w:r>
    </w:p>
    <w:p w14:paraId="219ABE35" w14:textId="77777777" w:rsidR="006E487A" w:rsidRDefault="00BA6D23">
      <w:pPr>
        <w:jc w:val="center"/>
      </w:pPr>
      <w:r>
        <w:rPr>
          <w:noProof/>
        </w:rPr>
        <w:drawing>
          <wp:inline distT="0" distB="0" distL="0" distR="0" wp14:anchorId="2CFFE6E4" wp14:editId="7049833B">
            <wp:extent cx="5486400" cy="2126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pic:nvPicPr>
                  <pic:blipFill>
                    <a:blip r:embed="rId16"/>
                    <a:stretch>
                      <a:fillRect/>
                    </a:stretch>
                  </pic:blipFill>
                  <pic:spPr>
                    <a:xfrm>
                      <a:off x="0" y="0"/>
                      <a:ext cx="5486400" cy="2126192"/>
                    </a:xfrm>
                    <a:prstGeom prst="rect">
                      <a:avLst/>
                    </a:prstGeom>
                  </pic:spPr>
                </pic:pic>
              </a:graphicData>
            </a:graphic>
          </wp:inline>
        </w:drawing>
      </w:r>
    </w:p>
    <w:p w14:paraId="487FBBD0" w14:textId="77777777" w:rsidR="006E487A" w:rsidRDefault="00BA6D23">
      <w:r>
        <w:t>Figure 9.  Estimated cannibalization decay, and the weight matrix it implies. Values are illustrative pending estimation.</w:t>
      </w:r>
    </w:p>
    <w:p w14:paraId="6754FC1E" w14:textId="77777777" w:rsidR="006E487A" w:rsidRDefault="00BA6D23">
      <w:r>
        <w:t>The estimated decay then defines W. This closes a gap that binary contiguity leaves open: the obvious question — why contiguity? — has no answer. W is now an estimated object with a standard error, and the cannibalization radius for same-day delivery is, to our knowledge, a parameter not previously published.</w:t>
      </w:r>
    </w:p>
    <w:p w14:paraId="4258F7C5" w14:textId="77777777" w:rsidR="006E487A" w:rsidRDefault="00BA6D23">
      <w:r>
        <w:t>The estimated radius also solves a practical problem. Synthetic control requires untreated donors, and in a saturating network those are scarce — more so if every neighbour of a treated unit is excluded as contaminated. Because contamination is now measured rather than assumed, only units inside the estimated radius are excluded, which recovers donors a contiguity rule would discard. Two further devices widen the pool: staggered adoption, in which later-treated units serve as controls for earlier-treated on</w:t>
      </w:r>
      <w:r>
        <w:t>es before their own treatment, and cross-metro donors, since matching is on pre-treatment trajectory rather than geography. Donor-pool size and weight concentration are reported as diagnostics, and where no credible pool exists the estimate is reported as not estimable rather than produced.</w:t>
      </w:r>
    </w:p>
    <w:p w14:paraId="6A26177B" w14:textId="77777777" w:rsidR="006E487A" w:rsidRDefault="00BA6D23">
      <w:r>
        <w:t>W is also revised at run time by the agent when a competitor facility event is parsed from text. Whether that revision changes the estimated coefficient materially is RQ2, and is tested rather than assumed.</w:t>
      </w:r>
    </w:p>
    <w:p w14:paraId="525FBE7F" w14:textId="77777777" w:rsidR="006E487A" w:rsidRDefault="00BA6D23">
      <w:pPr>
        <w:pStyle w:val="Heading2"/>
      </w:pPr>
      <w:bookmarkStart w:id="31" w:name="_Toc239881137"/>
      <w:r>
        <w:t>5.5  Cost model</w:t>
      </w:r>
      <w:bookmarkEnd w:id="31"/>
    </w:p>
    <w:p w14:paraId="3E1BEECB" w14:textId="77777777" w:rsidR="006E487A" w:rsidRDefault="00BA6D23">
      <w:r>
        <w:t>Cost per delivered package decomposes into a stem cost from the nearest node to the zone and a local cost within the zone, the latter scaling as the inverse square root of delivery density per Daganzo (1984). Stem drive times come from a precomputed matrix (§5.9). Capital is decomposed into eight buckets, each with a documented public proxy and each varying by metro: real-estate lease, building fitout, delivery vehicles, one-time hiring, ongoing wages, fuel and energy, permitting, and marketing activation.</w:t>
      </w:r>
    </w:p>
    <w:p w14:paraId="50A4C7B9" w14:textId="77777777" w:rsidR="006E487A" w:rsidRDefault="00BA6D23">
      <w:pPr>
        <w:jc w:val="center"/>
      </w:pPr>
      <w:r>
        <w:rPr>
          <w:noProof/>
        </w:rPr>
        <w:drawing>
          <wp:inline distT="0" distB="0" distL="0" distR="0" wp14:anchorId="4F3C566F" wp14:editId="58CCBEA8">
            <wp:extent cx="5486400" cy="2705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17"/>
                    <a:stretch>
                      <a:fillRect/>
                    </a:stretch>
                  </pic:blipFill>
                  <pic:spPr>
                    <a:xfrm>
                      <a:off x="0" y="0"/>
                      <a:ext cx="5486400" cy="2705580"/>
                    </a:xfrm>
                    <a:prstGeom prst="rect">
                      <a:avLst/>
                    </a:prstGeom>
                  </pic:spPr>
                </pic:pic>
              </a:graphicData>
            </a:graphic>
          </wp:inline>
        </w:drawing>
      </w:r>
    </w:p>
    <w:p w14:paraId="5C8EE636" w14:textId="77777777" w:rsidR="006E487A" w:rsidRDefault="00BA6D23">
      <w:r>
        <w:t>Figure 10.  Capital-bucket sensitivity. Four primary buckets account for roughly three-quarters of the swing in net present value.</w:t>
      </w:r>
    </w:p>
    <w:p w14:paraId="712295EF" w14:textId="77777777" w:rsidR="006E487A" w:rsidRDefault="00BA6D23">
      <w:r>
        <w:t>The sensitivity analysis is the defence of the cost model. Not all eight buckets need to be estimated precisely; the two that dominate the swing do, and the analysis identifies which those are rather than asserting it.</w:t>
      </w:r>
    </w:p>
    <w:p w14:paraId="56DED660" w14:textId="77777777" w:rsidR="006E487A" w:rsidRDefault="00BA6D23">
      <w:pPr>
        <w:pStyle w:val="Heading2"/>
      </w:pPr>
      <w:bookmarkStart w:id="32" w:name="_Toc239881138"/>
      <w:r>
        <w:t>5.6  Net present value and portfolio selection</w:t>
      </w:r>
      <w:bookmarkEnd w:id="32"/>
    </w:p>
    <w:p w14:paraId="3DD31816" w14:textId="77777777" w:rsidR="006E487A" w:rsidRDefault="00BA6D23">
      <w:r>
        <w:t>Five-year net present value per ZCTA nets margin on incremental volume against delivery cost, discounted, less metro-specific capital. Uncertainty is propagated by Monte Carlo over 10,000 draws per ZCTA, drawing jointly from the hazard-model posterior, the synthetic-control weight uncertainty, routing variance and each capital bucket's proxy uncertainty. A bootstrap wrapper places a confidence interval on the median itself — roughly 52 billion simulated realisations in total, which requires vectorised, chun</w:t>
      </w:r>
      <w:r>
        <w:t>ked evaluation.</w:t>
      </w:r>
    </w:p>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24DAE8A9" w14:textId="77777777">
        <w:tc>
          <w:tcPr>
            <w:tcW w:w="9360" w:type="dxa"/>
            <w:shd w:val="clear" w:color="auto" w:fill="E7ECF3"/>
          </w:tcPr>
          <w:p w14:paraId="664FDD74" w14:textId="77777777" w:rsidR="006E487A" w:rsidRDefault="00BA6D23">
            <w:pPr>
              <w:spacing w:after="40"/>
            </w:pPr>
            <w:r>
              <w:rPr>
                <w:b/>
                <w:color w:val="1A2B4A"/>
                <w:sz w:val="20"/>
              </w:rPr>
              <w:t>REPORTING NPV WITHOUT AN OBSERVABLE MARGIN</w:t>
            </w:r>
          </w:p>
          <w:p w14:paraId="20EFA6B3" w14:textId="77777777" w:rsidR="006E487A" w:rsidRDefault="00BA6D23">
            <w:pPr>
              <w:spacing w:after="40"/>
            </w:pPr>
            <w:r>
              <w:rPr>
                <w:color w:val="1A2B4A"/>
              </w:rPr>
              <w:t xml:space="preserve">Contribution margin per incremental order is not observable in public data. Rather than invent it, we factor it out: results are reported as a multiple of margin together with the break-even value — for example, 41,000m minus $3.8M, break-even at m = $0.93. A reader with a view on margin substitutes it; a reader without one still gets the threshold. Plausible ranges for m are additionally bounded from disclosed aggregates so a band can be reported. Because ranking is invariant to a common scale factor, the </w:t>
            </w:r>
            <w:r>
              <w:rPr>
                <w:color w:val="1A2B4A"/>
              </w:rPr>
              <w:t>ordering of areas, the choice between bundles and the rank-stability results are all unaffected by the unknown. We also re-run the ranking under a margin that varies with income, as a worst case, and report how far the top-100 list moves.</w:t>
            </w:r>
          </w:p>
        </w:tc>
      </w:tr>
    </w:tbl>
    <w:p w14:paraId="7D1C67BE" w14:textId="77777777" w:rsidR="006E487A" w:rsidRDefault="006E487A">
      <w:pPr>
        <w:spacing w:after="40"/>
      </w:pPr>
    </w:p>
    <w:p w14:paraId="45C4E7BF" w14:textId="77777777" w:rsidR="006E487A" w:rsidRDefault="006E487A"/>
    <w:tbl>
      <w:tblPr>
        <w:tblW w:w="0" w:type="auto"/>
        <w:tblBorders>
          <w:top w:val="single" w:sz="6" w:space="0" w:color="1A2B4A"/>
          <w:left w:val="single" w:sz="6" w:space="0" w:color="1A2B4A"/>
          <w:bottom w:val="single" w:sz="6" w:space="0" w:color="1A2B4A"/>
          <w:right w:val="single" w:sz="6" w:space="0" w:color="1A2B4A"/>
          <w:insideH w:val="single" w:sz="6" w:space="0" w:color="1A2B4A"/>
          <w:insideV w:val="single" w:sz="6" w:space="0" w:color="1A2B4A"/>
        </w:tblBorders>
        <w:tblLook w:val="04A0" w:firstRow="1" w:lastRow="0" w:firstColumn="1" w:lastColumn="0" w:noHBand="0" w:noVBand="1"/>
      </w:tblPr>
      <w:tblGrid>
        <w:gridCol w:w="9360"/>
      </w:tblGrid>
      <w:tr w:rsidR="006E487A" w14:paraId="50B08E0B" w14:textId="77777777">
        <w:tc>
          <w:tcPr>
            <w:tcW w:w="9360" w:type="dxa"/>
            <w:shd w:val="clear" w:color="auto" w:fill="E7ECF3"/>
          </w:tcPr>
          <w:p w14:paraId="2DFB70D1" w14:textId="77777777" w:rsidR="006E487A" w:rsidRDefault="00BA6D23">
            <w:pPr>
              <w:spacing w:after="40"/>
            </w:pPr>
            <w:r>
              <w:rPr>
                <w:b/>
                <w:color w:val="1A2B4A"/>
                <w:sz w:val="20"/>
              </w:rPr>
              <w:t>RANK STABILITY, NOT JUST SPREAD</w:t>
            </w:r>
          </w:p>
          <w:p w14:paraId="2223C104" w14:textId="77777777" w:rsidR="006E487A" w:rsidRDefault="00BA6D23">
            <w:pPr>
              <w:spacing w:after="40"/>
            </w:pPr>
            <w:r>
              <w:rPr>
                <w:color w:val="1A2B4A"/>
              </w:rPr>
              <w:t>The executive question is not 'what is the error rate' but 'if the inputs move within their uncertainty bands, does the recommendation change?'. We therefore report, for each candidate area, the share of Monte Carlo draws in which it holds a top-K position. An area appearing in the top ten in 87% of draws is actionable; one appearing in 34% is not, and saying so is more useful than a point estimate.</w:t>
            </w:r>
          </w:p>
        </w:tc>
      </w:tr>
    </w:tbl>
    <w:p w14:paraId="204622CD" w14:textId="77777777" w:rsidR="006E487A" w:rsidRDefault="006E487A">
      <w:pPr>
        <w:spacing w:after="40"/>
      </w:pPr>
    </w:p>
    <w:p w14:paraId="3DB1CE0B" w14:textId="77777777" w:rsidR="006E487A" w:rsidRDefault="006E487A"/>
    <w:p w14:paraId="693A3EFB" w14:textId="77777777" w:rsidR="006E487A" w:rsidRDefault="00BA6D23">
      <w:pPr>
        <w:jc w:val="center"/>
      </w:pPr>
      <w:r>
        <w:rPr>
          <w:noProof/>
        </w:rPr>
        <w:drawing>
          <wp:inline distT="0" distB="0" distL="0" distR="0" wp14:anchorId="41BB272C" wp14:editId="43DA8B4A">
            <wp:extent cx="5486400" cy="2753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8"/>
                    <a:stretch>
                      <a:fillRect/>
                    </a:stretch>
                  </pic:blipFill>
                  <pic:spPr>
                    <a:xfrm>
                      <a:off x="0" y="0"/>
                      <a:ext cx="5486400" cy="2753398"/>
                    </a:xfrm>
                    <a:prstGeom prst="rect">
                      <a:avLst/>
                    </a:prstGeom>
                  </pic:spPr>
                </pic:pic>
              </a:graphicData>
            </a:graphic>
          </wp:inline>
        </w:drawing>
      </w:r>
    </w:p>
    <w:p w14:paraId="7A8F0BDB" w14:textId="77777777" w:rsidR="006E487A" w:rsidRDefault="00BA6D23">
      <w:r>
        <w:t>Figure 11.  Top-K rank stability. Illustrative values.</w:t>
      </w:r>
    </w:p>
    <w:p w14:paraId="5CC6C73E" w14:textId="77777777" w:rsidR="006E487A" w:rsidRDefault="00BA6D23">
      <w:r>
        <w:t>Ranking areas independently, however, assumes their net present values add — and they do not. Cannibalization makes adjacent activations worth less together; shared stations and pooled drop density make them worth more. Two areas each unprofitable alone can be jointly profitable.</w:t>
      </w:r>
    </w:p>
    <w:p w14:paraId="50D68AEF" w14:textId="77777777" w:rsidR="006E487A" w:rsidRDefault="00BA6D23">
      <w:pPr>
        <w:jc w:val="center"/>
      </w:pPr>
      <w:r>
        <w:rPr>
          <w:noProof/>
        </w:rPr>
        <w:drawing>
          <wp:inline distT="0" distB="0" distL="0" distR="0" wp14:anchorId="321E7A96" wp14:editId="5651AB20">
            <wp:extent cx="5486400" cy="2126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9"/>
                    <a:stretch>
                      <a:fillRect/>
                    </a:stretch>
                  </pic:blipFill>
                  <pic:spPr>
                    <a:xfrm>
                      <a:off x="0" y="0"/>
                      <a:ext cx="5486400" cy="2126192"/>
                    </a:xfrm>
                    <a:prstGeom prst="rect">
                      <a:avLst/>
                    </a:prstGeom>
                  </pic:spPr>
                </pic:pic>
              </a:graphicData>
            </a:graphic>
          </wp:inline>
        </w:drawing>
      </w:r>
    </w:p>
    <w:p w14:paraId="519CE4DD" w14:textId="77777777" w:rsidR="006E487A" w:rsidRDefault="00BA6D23">
      <w:r>
        <w:t>Figure 12.  Why a ranking misses profitable bundles, and why greedy selection carries no approximation guarantee here.</w:t>
      </w:r>
    </w:p>
    <w:p w14:paraId="0B04DDA9" w14:textId="77777777" w:rsidR="006E487A" w:rsidRDefault="00BA6D23">
      <w:r>
        <w:t>We therefore solve a bundle-selection problem by greedy construction with pairwise-swap local search over the top candidate set, and report the gap against pure greedy ranking. Because cannibalization produces diminishing returns while density economics produces increasing returns, the objective is neither submodular nor supermodular and the standard greedy bound does not apply, making the size of the gap an empirical question.</w:t>
      </w:r>
    </w:p>
    <w:p w14:paraId="54B85B09" w14:textId="77777777" w:rsidR="006E487A" w:rsidRDefault="00BA6D23">
      <w:r>
        <w:t>We do not claim multi-facility optimisation as a contribution — it is a mature commercial category (§2.6). It is included because ranking is the wrong model of the decision, and correcting that is a matter of validity rather than novelty.</w:t>
      </w:r>
    </w:p>
    <w:p w14:paraId="3F893C6A" w14:textId="77777777" w:rsidR="006E487A" w:rsidRDefault="00BA6D23">
      <w:pPr>
        <w:pStyle w:val="Heading2"/>
      </w:pPr>
      <w:bookmarkStart w:id="33" w:name="_Toc239881139"/>
      <w:r>
        <w:t>5.7  Agent layer and the six gates</w:t>
      </w:r>
      <w:bookmarkEnd w:id="33"/>
    </w:p>
    <w:p w14:paraId="0EDF87AD" w14:textId="77777777" w:rsidR="006E487A" w:rsidRDefault="00BA6D23">
      <w:r>
        <w:t>The agent implements the ReAct pattern with three tools exposed as Model Context Protocol servers: a query generator and a spatial visualiser, both read-only, and a warehouse mutator that parses competitor infrastructure text, extracts a facility record and writes it — triggering downstream re-estimation.</w:t>
      </w:r>
    </w:p>
    <w:p w14:paraId="3064B12B" w14:textId="77777777" w:rsidR="006E487A" w:rsidRDefault="00BA6D23">
      <w:pPr>
        <w:jc w:val="center"/>
      </w:pPr>
      <w:r>
        <w:rPr>
          <w:noProof/>
        </w:rPr>
        <w:drawing>
          <wp:inline distT="0" distB="0" distL="0" distR="0" wp14:anchorId="161ED447" wp14:editId="37C25F9E">
            <wp:extent cx="5486400" cy="35431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20"/>
                    <a:stretch>
                      <a:fillRect/>
                    </a:stretch>
                  </pic:blipFill>
                  <pic:spPr>
                    <a:xfrm>
                      <a:off x="0" y="0"/>
                      <a:ext cx="5486400" cy="3543179"/>
                    </a:xfrm>
                    <a:prstGeom prst="rect">
                      <a:avLst/>
                    </a:prstGeom>
                  </pic:spPr>
                </pic:pic>
              </a:graphicData>
            </a:graphic>
          </wp:inline>
        </w:drawing>
      </w:r>
    </w:p>
    <w:p w14:paraId="21ED96BD" w14:textId="77777777" w:rsidR="006E487A" w:rsidRDefault="00BA6D23">
      <w:r>
        <w:t>Figure 13.  The agent loop and the six-gate mutation path. Gates 5 and 6 are the contribution.</w:t>
      </w:r>
    </w:p>
    <w:p w14:paraId="32BC9B84" w14:textId="77777777" w:rsidR="006E487A" w:rsidRDefault="00BA6D23">
      <w:r>
        <w:t>Gates 1 through 4 — schema conformance, geocoding reachability, a confidence threshold and audit-log immutability — protect data integrity and have prior art (§2.5). They are not sufficient. Consider a press release announcing a competitor sortation centre in Plano, Texas. The extracted record is schema-valid, the coordinates resolve, confidence is high and the write is logged: all four gates pass. Yet the write changes W, which changes which areas are neighbours, which changes the donor pool for treated ar</w:t>
      </w:r>
      <w:r>
        <w:t>eas in that metro, which changes the cannibalization coefficient and moves net present value by millions. The data is correct and the inference is broken.</w:t>
      </w:r>
    </w:p>
    <w:p w14:paraId="08A6DC0A" w14:textId="77777777" w:rsidR="006E487A" w:rsidRDefault="00BA6D23">
      <w:pPr>
        <w:pStyle w:val="ListBullet"/>
      </w:pPr>
      <w:r>
        <w:t>Gate 5 — donor-pool integrity. Does this mutation move a unit currently serving as a control into a treated or spillover-contaminated state? If so, the donor pool is recomputed and the affected areas flagged, never silently re-weighted.</w:t>
      </w:r>
    </w:p>
    <w:p w14:paraId="0454313F" w14:textId="77777777" w:rsidR="006E487A" w:rsidRDefault="00BA6D23">
      <w:pPr>
        <w:pStyle w:val="ListBullet"/>
      </w:pPr>
      <w:r>
        <w:t>Gate 6 — estimate stability. The cannibalization coefficient is re-estimated with and without the mutation. If the change exceeds a pre-registered threshold, the mutation escalates to human review regardless of automation settings, and the delta is surfaced in the diff card.</w:t>
      </w:r>
    </w:p>
    <w:p w14:paraId="2CF1E78C" w14:textId="77777777" w:rsidR="006E487A" w:rsidRDefault="00BA6D23">
      <w:r>
        <w:t>For any public demonstration, human-in-the-loop confirmation is enabled by default: every mutation that clears all six gates still requires an explicit human approval before the write lands.</w:t>
      </w:r>
    </w:p>
    <w:p w14:paraId="574CBF66" w14:textId="77777777" w:rsidR="006E487A" w:rsidRDefault="00BA6D23">
      <w:pPr>
        <w:pStyle w:val="Heading2"/>
      </w:pPr>
      <w:bookmarkStart w:id="34" w:name="_Toc239881140"/>
      <w:r>
        <w:t>5.8  Contributions</w:t>
      </w:r>
      <w:bookmarkEnd w:id="34"/>
    </w:p>
    <w:p w14:paraId="36578838" w14:textId="77777777" w:rsidR="006E487A" w:rsidRDefault="00BA6D23">
      <w:r>
        <w:t>Four claims, each stated so that a product datasheet or an internal proprietary system cannot falsify it.</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2941D618" w14:textId="77777777">
        <w:trPr>
          <w:tblHeader/>
        </w:trPr>
        <w:tc>
          <w:tcPr>
            <w:tcW w:w="3120" w:type="dxa"/>
            <w:shd w:val="clear" w:color="auto" w:fill="1A2B4A"/>
            <w:vAlign w:val="center"/>
          </w:tcPr>
          <w:p w14:paraId="57118FDA" w14:textId="77777777" w:rsidR="006E487A" w:rsidRDefault="00BA6D23">
            <w:pPr>
              <w:spacing w:after="40"/>
            </w:pPr>
            <w:r>
              <w:rPr>
                <w:b/>
                <w:color w:val="FFFFFF"/>
                <w:sz w:val="20"/>
              </w:rPr>
              <w:t>#</w:t>
            </w:r>
          </w:p>
        </w:tc>
        <w:tc>
          <w:tcPr>
            <w:tcW w:w="3120" w:type="dxa"/>
            <w:shd w:val="clear" w:color="auto" w:fill="1A2B4A"/>
            <w:vAlign w:val="center"/>
          </w:tcPr>
          <w:p w14:paraId="57C89149" w14:textId="77777777" w:rsidR="006E487A" w:rsidRDefault="00BA6D23">
            <w:pPr>
              <w:spacing w:after="40"/>
            </w:pPr>
            <w:r>
              <w:rPr>
                <w:b/>
                <w:color w:val="FFFFFF"/>
                <w:sz w:val="20"/>
              </w:rPr>
              <w:t>Claim</w:t>
            </w:r>
          </w:p>
        </w:tc>
        <w:tc>
          <w:tcPr>
            <w:tcW w:w="3120" w:type="dxa"/>
            <w:shd w:val="clear" w:color="auto" w:fill="1A2B4A"/>
            <w:vAlign w:val="center"/>
          </w:tcPr>
          <w:p w14:paraId="447A775C" w14:textId="77777777" w:rsidR="006E487A" w:rsidRDefault="00BA6D23">
            <w:pPr>
              <w:spacing w:after="40"/>
            </w:pPr>
            <w:r>
              <w:rPr>
                <w:b/>
                <w:color w:val="FFFFFF"/>
                <w:sz w:val="20"/>
              </w:rPr>
              <w:t>Stated as</w:t>
            </w:r>
          </w:p>
        </w:tc>
      </w:tr>
      <w:tr w:rsidR="006E487A" w14:paraId="2EEC052E" w14:textId="77777777">
        <w:tc>
          <w:tcPr>
            <w:tcW w:w="3120" w:type="dxa"/>
            <w:vAlign w:val="center"/>
          </w:tcPr>
          <w:p w14:paraId="5DBF301B" w14:textId="77777777" w:rsidR="006E487A" w:rsidRDefault="00BA6D23">
            <w:pPr>
              <w:spacing w:after="40"/>
            </w:pPr>
            <w:r>
              <w:rPr>
                <w:color w:val="1A2B4A"/>
                <w:sz w:val="20"/>
              </w:rPr>
              <w:t>1</w:t>
            </w:r>
          </w:p>
        </w:tc>
        <w:tc>
          <w:tcPr>
            <w:tcW w:w="3120" w:type="dxa"/>
            <w:vAlign w:val="center"/>
          </w:tcPr>
          <w:p w14:paraId="0AA57067" w14:textId="77777777" w:rsidR="006E487A" w:rsidRDefault="00BA6D23">
            <w:pPr>
              <w:spacing w:after="40"/>
            </w:pPr>
            <w:r>
              <w:rPr>
                <w:color w:val="1A2B4A"/>
                <w:sz w:val="20"/>
              </w:rPr>
              <w:t>Inferential-integrity gates</w:t>
            </w:r>
          </w:p>
        </w:tc>
        <w:tc>
          <w:tcPr>
            <w:tcW w:w="3120" w:type="dxa"/>
            <w:vAlign w:val="center"/>
          </w:tcPr>
          <w:p w14:paraId="07D5C4D0" w14:textId="77777777" w:rsidR="006E487A" w:rsidRDefault="00BA6D23">
            <w:pPr>
              <w:spacing w:after="40"/>
            </w:pPr>
            <w:r>
              <w:rPr>
                <w:color w:val="1A2B4A"/>
                <w:sz w:val="20"/>
              </w:rPr>
              <w:t>A failure class not covered by the published gated-write literature, with two gates that detect it.</w:t>
            </w:r>
          </w:p>
        </w:tc>
      </w:tr>
      <w:tr w:rsidR="006E487A" w14:paraId="76BD3C98" w14:textId="77777777">
        <w:tc>
          <w:tcPr>
            <w:tcW w:w="3120" w:type="dxa"/>
            <w:vAlign w:val="center"/>
          </w:tcPr>
          <w:p w14:paraId="2F8F703B" w14:textId="77777777" w:rsidR="006E487A" w:rsidRDefault="00BA6D23">
            <w:pPr>
              <w:spacing w:after="40"/>
            </w:pPr>
            <w:r>
              <w:rPr>
                <w:color w:val="1A2B4A"/>
                <w:sz w:val="20"/>
              </w:rPr>
              <w:t>2</w:t>
            </w:r>
          </w:p>
        </w:tc>
        <w:tc>
          <w:tcPr>
            <w:tcW w:w="3120" w:type="dxa"/>
            <w:vAlign w:val="center"/>
          </w:tcPr>
          <w:p w14:paraId="2CD15BF4" w14:textId="77777777" w:rsidR="006E487A" w:rsidRDefault="00BA6D23">
            <w:pPr>
              <w:spacing w:after="40"/>
            </w:pPr>
            <w:r>
              <w:rPr>
                <w:color w:val="1A2B4A"/>
                <w:sz w:val="20"/>
              </w:rPr>
              <w:t>Causal cannibalization radius, and W built from it</w:t>
            </w:r>
          </w:p>
        </w:tc>
        <w:tc>
          <w:tcPr>
            <w:tcW w:w="3120" w:type="dxa"/>
            <w:vAlign w:val="center"/>
          </w:tcPr>
          <w:p w14:paraId="76C17548" w14:textId="77777777" w:rsidR="006E487A" w:rsidRDefault="00BA6D23">
            <w:pPr>
              <w:spacing w:after="40"/>
            </w:pPr>
            <w:r>
              <w:rPr>
                <w:color w:val="1A2B4A"/>
                <w:sz w:val="20"/>
              </w:rPr>
              <w:t>The estimator is Pollmann's; the parameter for same-day delivery is not published in the open literature.</w:t>
            </w:r>
          </w:p>
        </w:tc>
      </w:tr>
      <w:tr w:rsidR="006E487A" w14:paraId="4ECA278F" w14:textId="77777777">
        <w:tc>
          <w:tcPr>
            <w:tcW w:w="3120" w:type="dxa"/>
            <w:vAlign w:val="center"/>
          </w:tcPr>
          <w:p w14:paraId="54CA93B8" w14:textId="77777777" w:rsidR="006E487A" w:rsidRDefault="00BA6D23">
            <w:pPr>
              <w:spacing w:after="40"/>
            </w:pPr>
            <w:r>
              <w:rPr>
                <w:color w:val="1A2B4A"/>
                <w:sz w:val="20"/>
              </w:rPr>
              <w:t>3</w:t>
            </w:r>
          </w:p>
        </w:tc>
        <w:tc>
          <w:tcPr>
            <w:tcW w:w="3120" w:type="dxa"/>
            <w:vAlign w:val="center"/>
          </w:tcPr>
          <w:p w14:paraId="7A91E776" w14:textId="77777777" w:rsidR="006E487A" w:rsidRDefault="00BA6D23">
            <w:pPr>
              <w:spacing w:after="40"/>
            </w:pPr>
            <w:r>
              <w:rPr>
                <w:color w:val="1A2B4A"/>
                <w:sz w:val="20"/>
              </w:rPr>
              <w:t>Public-data explainability ceiling and cross-operator transfer</w:t>
            </w:r>
          </w:p>
        </w:tc>
        <w:tc>
          <w:tcPr>
            <w:tcW w:w="3120" w:type="dxa"/>
            <w:vAlign w:val="center"/>
          </w:tcPr>
          <w:p w14:paraId="4A69901B" w14:textId="77777777" w:rsidR="006E487A" w:rsidRDefault="00BA6D23">
            <w:pPr>
              <w:spacing w:after="40"/>
            </w:pPr>
            <w:r>
              <w:rPr>
                <w:color w:val="1A2B4A"/>
                <w:sz w:val="20"/>
              </w:rPr>
              <w:t>How much siting behaviour is visible from outside, and whether a model fitted on one operator predicts another. Not previously reported.</w:t>
            </w:r>
          </w:p>
        </w:tc>
      </w:tr>
      <w:tr w:rsidR="006E487A" w14:paraId="08A1BBDB" w14:textId="77777777">
        <w:tc>
          <w:tcPr>
            <w:tcW w:w="3120" w:type="dxa"/>
            <w:vAlign w:val="center"/>
          </w:tcPr>
          <w:p w14:paraId="3C5C8B4A" w14:textId="77777777" w:rsidR="006E487A" w:rsidRDefault="00BA6D23">
            <w:pPr>
              <w:spacing w:after="40"/>
            </w:pPr>
            <w:r>
              <w:rPr>
                <w:color w:val="1A2B4A"/>
                <w:sz w:val="20"/>
              </w:rPr>
              <w:t>4</w:t>
            </w:r>
          </w:p>
        </w:tc>
        <w:tc>
          <w:tcPr>
            <w:tcW w:w="3120" w:type="dxa"/>
            <w:vAlign w:val="center"/>
          </w:tcPr>
          <w:p w14:paraId="455876C4" w14:textId="77777777" w:rsidR="006E487A" w:rsidRDefault="00BA6D23">
            <w:pPr>
              <w:spacing w:after="40"/>
            </w:pPr>
            <w:r>
              <w:rPr>
                <w:color w:val="1A2B4A"/>
                <w:sz w:val="20"/>
              </w:rPr>
              <w:t>The artifact</w:t>
            </w:r>
          </w:p>
        </w:tc>
        <w:tc>
          <w:tcPr>
            <w:tcW w:w="3120" w:type="dxa"/>
            <w:vAlign w:val="center"/>
          </w:tcPr>
          <w:p w14:paraId="6DD111B8" w14:textId="77777777" w:rsidR="006E487A" w:rsidRDefault="00BA6D23">
            <w:pPr>
              <w:spacing w:after="40"/>
            </w:pPr>
            <w:r>
              <w:rPr>
                <w:color w:val="1A2B4A"/>
                <w:sz w:val="20"/>
              </w:rPr>
              <w:t>Free, open, reproducible, public-data, and serving regulators and communities. Every technique here has a paywalled commercial equivalent; none of them can be checked.</w:t>
            </w:r>
          </w:p>
        </w:tc>
      </w:tr>
    </w:tbl>
    <w:p w14:paraId="3FB06559" w14:textId="77777777" w:rsidR="006E487A" w:rsidRDefault="006E487A">
      <w:pPr>
        <w:spacing w:after="40"/>
      </w:pPr>
    </w:p>
    <w:p w14:paraId="6D2CE849" w14:textId="77777777" w:rsidR="006E487A" w:rsidRDefault="006E487A"/>
    <w:p w14:paraId="6ED83A5E" w14:textId="77777777" w:rsidR="006E487A" w:rsidRDefault="00BA6D23">
      <w:r>
        <w:t>Three claims that a reader might expect us to make, we deliberately do not. We do not claim to be first to gate an agent write (§2.5). We do not claim novelty in relaxing the fixed-W assumption (§2.2). And we make no comparison between our update latency and an operator's internal review cycle: that would compare a compute step to a governance step, since a review cycle is slow because a human is committing capital, not because software is slow.</w:t>
      </w:r>
    </w:p>
    <w:p w14:paraId="7844201B" w14:textId="77777777" w:rsidR="006E487A" w:rsidRDefault="00BA6D23">
      <w:pPr>
        <w:pStyle w:val="Heading2"/>
      </w:pPr>
      <w:bookmarkStart w:id="35" w:name="_Toc239881141"/>
      <w:r>
        <w:t>5.9  Engineering feasibility</w:t>
      </w:r>
      <w:bookmarkEnd w:id="35"/>
    </w:p>
    <w:p w14:paraId="6890A4AA" w14:textId="77777777" w:rsidR="006E487A" w:rsidRDefault="00BA6D23">
      <w:r>
        <w:t>The analytical panel is 811,200 rows and roughly 260 MB, and the warehouse compresses to under 500 MB. This is deliberate: the hard problem is identification, not throughput. No distributed compute appears anywhere in the design.</w:t>
      </w:r>
    </w:p>
    <w:p w14:paraId="100A0D84" w14:textId="77777777" w:rsidR="006E487A" w:rsidRDefault="00BA6D23">
      <w:r>
        <w:t>The one component that does not fit that description is road-network preprocessing. A full-US extract requires memory well beyond a laptop, and retaining processed artifacts for ten metros simultaneously would consume roughly 30 GB. The design therefore removes routing from the critical path entirely: for each metro in turn, the road graph is processed offline, the origin-destination drive-time matrix is extracted, and every intermediate artifact is deleted before the next metro begins. Peak disk falls from</w:t>
      </w:r>
      <w:r>
        <w:t xml:space="preserve"> approximately 60 GB to 8 GB, and the deployed application reads a single 10 MB lookup with no routing dependency at all.</w:t>
      </w:r>
    </w:p>
    <w:p w14:paraId="6CB528D0" w14:textId="77777777" w:rsidR="006E487A" w:rsidRDefault="00BA6D23">
      <w:r>
        <w:t>As a fallback, road distance can be approximated as great-circle distance scaled by a circuity factor calibrated on one metro against routed ground truth, with the residual error reported. Since Daganzo's law is itself a continuous approximation, exact routing is precision in the wrong place if it threatens delivery.</w:t>
      </w:r>
    </w:p>
    <w:p w14:paraId="7CEBA5AD" w14:textId="77777777" w:rsidR="006E487A" w:rsidRDefault="00BA6D23">
      <w:pPr>
        <w:jc w:val="center"/>
      </w:pPr>
      <w:r>
        <w:rPr>
          <w:noProof/>
        </w:rPr>
        <w:drawing>
          <wp:inline distT="0" distB="0" distL="0" distR="0" wp14:anchorId="36DAF03D" wp14:editId="083F24B6">
            <wp:extent cx="5486400" cy="29191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21"/>
                    <a:stretch>
                      <a:fillRect/>
                    </a:stretch>
                  </pic:blipFill>
                  <pic:spPr>
                    <a:xfrm>
                      <a:off x="0" y="0"/>
                      <a:ext cx="5486400" cy="2919179"/>
                    </a:xfrm>
                    <a:prstGeom prst="rect">
                      <a:avLst/>
                    </a:prstGeom>
                  </pic:spPr>
                </pic:pic>
              </a:graphicData>
            </a:graphic>
          </wp:inline>
        </w:drawing>
      </w:r>
    </w:p>
    <w:p w14:paraId="773FD043" w14:textId="77777777" w:rsidR="006E487A" w:rsidRDefault="00BA6D23">
      <w:r>
        <w:t>Figure 14.  Scale and impact. Row count is the only dimension on which this project is small.</w:t>
      </w:r>
    </w:p>
    <w:p w14:paraId="66258243" w14:textId="77777777" w:rsidR="006E487A" w:rsidRDefault="006E487A"/>
    <w:p w14:paraId="48034225" w14:textId="77777777" w:rsidR="006E487A" w:rsidRDefault="00BA6D23">
      <w:pPr>
        <w:pStyle w:val="Heading1"/>
      </w:pPr>
      <w:bookmarkStart w:id="36" w:name="_Toc239881142"/>
      <w:r>
        <w:t>6.  Roles and Contributions</w:t>
      </w:r>
      <w:bookmarkEnd w:id="36"/>
    </w:p>
    <w:p w14:paraId="400D5E4F" w14:textId="77777777" w:rsidR="006E487A" w:rsidRDefault="00BA6D23">
      <w:r>
        <w:t>This project is executed by three contributors: P1  —  Sharada Dogiparthi, P2  —  Srilekha Budithi, and P3  —  Rakshitha Venigalla. Roles are defined by module ownership and by pipeline stage rather than title hierarchy. Assigning modules without assigning stages is how a shared codebase becomes a graveyard of half-owned files; the split below is designed to prevent that.</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3120"/>
        <w:gridCol w:w="3120"/>
        <w:gridCol w:w="3120"/>
      </w:tblGrid>
      <w:tr w:rsidR="006E487A" w14:paraId="436A20AF" w14:textId="77777777">
        <w:trPr>
          <w:tblHeader/>
        </w:trPr>
        <w:tc>
          <w:tcPr>
            <w:tcW w:w="3120" w:type="dxa"/>
            <w:shd w:val="clear" w:color="auto" w:fill="1A2B4A"/>
            <w:vAlign w:val="center"/>
          </w:tcPr>
          <w:p w14:paraId="5BE7C082" w14:textId="77777777" w:rsidR="006E487A" w:rsidRDefault="00BA6D23">
            <w:pPr>
              <w:spacing w:after="40"/>
            </w:pPr>
            <w:r>
              <w:rPr>
                <w:b/>
                <w:color w:val="FFFFFF"/>
                <w:sz w:val="20"/>
              </w:rPr>
              <w:t>Stage</w:t>
            </w:r>
          </w:p>
        </w:tc>
        <w:tc>
          <w:tcPr>
            <w:tcW w:w="3120" w:type="dxa"/>
            <w:shd w:val="clear" w:color="auto" w:fill="1A2B4A"/>
            <w:vAlign w:val="center"/>
          </w:tcPr>
          <w:p w14:paraId="64D123D3" w14:textId="77777777" w:rsidR="006E487A" w:rsidRDefault="00BA6D23">
            <w:pPr>
              <w:spacing w:after="40"/>
            </w:pPr>
            <w:r>
              <w:rPr>
                <w:b/>
                <w:color w:val="FFFFFF"/>
                <w:sz w:val="20"/>
              </w:rPr>
              <w:t>Owner</w:t>
            </w:r>
          </w:p>
        </w:tc>
        <w:tc>
          <w:tcPr>
            <w:tcW w:w="3120" w:type="dxa"/>
            <w:shd w:val="clear" w:color="auto" w:fill="1A2B4A"/>
            <w:vAlign w:val="center"/>
          </w:tcPr>
          <w:p w14:paraId="4658455F" w14:textId="77777777" w:rsidR="006E487A" w:rsidRDefault="00BA6D23">
            <w:pPr>
              <w:spacing w:after="40"/>
            </w:pPr>
            <w:r>
              <w:rPr>
                <w:b/>
                <w:color w:val="FFFFFF"/>
                <w:sz w:val="20"/>
              </w:rPr>
              <w:t>Definition of done</w:t>
            </w:r>
          </w:p>
        </w:tc>
      </w:tr>
      <w:tr w:rsidR="006E487A" w14:paraId="1A28C569" w14:textId="77777777">
        <w:tc>
          <w:tcPr>
            <w:tcW w:w="3120" w:type="dxa"/>
            <w:vAlign w:val="center"/>
          </w:tcPr>
          <w:p w14:paraId="5974A4E0" w14:textId="77777777" w:rsidR="006E487A" w:rsidRDefault="00BA6D23">
            <w:pPr>
              <w:spacing w:after="40"/>
            </w:pPr>
            <w:r>
              <w:rPr>
                <w:color w:val="1A2B4A"/>
                <w:sz w:val="20"/>
              </w:rPr>
              <w:t>L0  acquire and cache</w:t>
            </w:r>
          </w:p>
        </w:tc>
        <w:tc>
          <w:tcPr>
            <w:tcW w:w="3120" w:type="dxa"/>
            <w:vAlign w:val="center"/>
          </w:tcPr>
          <w:p w14:paraId="6AE61444" w14:textId="77777777" w:rsidR="006E487A" w:rsidRDefault="00BA6D23">
            <w:pPr>
              <w:spacing w:after="40"/>
            </w:pPr>
            <w:r>
              <w:rPr>
                <w:color w:val="1A2B4A"/>
                <w:sz w:val="20"/>
              </w:rPr>
              <w:t>P2</w:t>
            </w:r>
          </w:p>
        </w:tc>
        <w:tc>
          <w:tcPr>
            <w:tcW w:w="3120" w:type="dxa"/>
            <w:vAlign w:val="center"/>
          </w:tcPr>
          <w:p w14:paraId="17A46E51" w14:textId="77777777" w:rsidR="006E487A" w:rsidRDefault="00BA6D23">
            <w:pPr>
              <w:spacing w:after="40"/>
            </w:pPr>
            <w:r>
              <w:rPr>
                <w:color w:val="1A2B4A"/>
                <w:sz w:val="20"/>
              </w:rPr>
              <w:t>Pipeline runs offline against a warm cache</w:t>
            </w:r>
          </w:p>
        </w:tc>
      </w:tr>
      <w:tr w:rsidR="006E487A" w14:paraId="07A06764" w14:textId="77777777">
        <w:tc>
          <w:tcPr>
            <w:tcW w:w="3120" w:type="dxa"/>
            <w:vAlign w:val="center"/>
          </w:tcPr>
          <w:p w14:paraId="292A1886" w14:textId="77777777" w:rsidR="006E487A" w:rsidRDefault="00BA6D23">
            <w:pPr>
              <w:spacing w:after="40"/>
            </w:pPr>
            <w:r>
              <w:rPr>
                <w:color w:val="1A2B4A"/>
                <w:sz w:val="20"/>
              </w:rPr>
              <w:t>L1  normalise to columnar</w:t>
            </w:r>
          </w:p>
        </w:tc>
        <w:tc>
          <w:tcPr>
            <w:tcW w:w="3120" w:type="dxa"/>
            <w:vAlign w:val="center"/>
          </w:tcPr>
          <w:p w14:paraId="4EFB9C2E" w14:textId="77777777" w:rsidR="006E487A" w:rsidRDefault="00BA6D23">
            <w:pPr>
              <w:spacing w:after="40"/>
            </w:pPr>
            <w:r>
              <w:rPr>
                <w:color w:val="1A2B4A"/>
                <w:sz w:val="20"/>
              </w:rPr>
              <w:t>P2</w:t>
            </w:r>
          </w:p>
        </w:tc>
        <w:tc>
          <w:tcPr>
            <w:tcW w:w="3120" w:type="dxa"/>
            <w:vAlign w:val="center"/>
          </w:tcPr>
          <w:p w14:paraId="25A35FD6" w14:textId="77777777" w:rsidR="006E487A" w:rsidRDefault="00BA6D23">
            <w:pPr>
              <w:spacing w:after="40"/>
            </w:pPr>
            <w:r>
              <w:rPr>
                <w:color w:val="1A2B4A"/>
                <w:sz w:val="20"/>
              </w:rPr>
              <w:t>Every source typed, documented, contract-tested</w:t>
            </w:r>
          </w:p>
        </w:tc>
      </w:tr>
      <w:tr w:rsidR="006E487A" w14:paraId="7F9BC5EA" w14:textId="77777777">
        <w:tc>
          <w:tcPr>
            <w:tcW w:w="3120" w:type="dxa"/>
            <w:vAlign w:val="center"/>
          </w:tcPr>
          <w:p w14:paraId="2FAB2838" w14:textId="77777777" w:rsidR="006E487A" w:rsidRDefault="00BA6D23">
            <w:pPr>
              <w:spacing w:after="40"/>
            </w:pPr>
            <w:r>
              <w:rPr>
                <w:color w:val="1A2B4A"/>
                <w:sz w:val="20"/>
              </w:rPr>
              <w:t>L2  warehouse and star schema</w:t>
            </w:r>
          </w:p>
        </w:tc>
        <w:tc>
          <w:tcPr>
            <w:tcW w:w="3120" w:type="dxa"/>
            <w:vAlign w:val="center"/>
          </w:tcPr>
          <w:p w14:paraId="5432AB5C" w14:textId="77777777" w:rsidR="006E487A" w:rsidRDefault="00BA6D23">
            <w:pPr>
              <w:spacing w:after="40"/>
            </w:pPr>
            <w:r>
              <w:rPr>
                <w:color w:val="1A2B4A"/>
                <w:sz w:val="20"/>
              </w:rPr>
              <w:t>P1</w:t>
            </w:r>
          </w:p>
        </w:tc>
        <w:tc>
          <w:tcPr>
            <w:tcW w:w="3120" w:type="dxa"/>
            <w:vAlign w:val="center"/>
          </w:tcPr>
          <w:p w14:paraId="36E4B90C" w14:textId="77777777" w:rsidR="006E487A" w:rsidRDefault="00BA6D23">
            <w:pPr>
              <w:spacing w:after="40"/>
            </w:pPr>
            <w:r>
              <w:rPr>
                <w:color w:val="1A2B4A"/>
                <w:sz w:val="20"/>
              </w:rPr>
              <w:t>Build green; data contracts enforced in CI</w:t>
            </w:r>
          </w:p>
        </w:tc>
      </w:tr>
      <w:tr w:rsidR="006E487A" w14:paraId="4DC1AF52" w14:textId="77777777">
        <w:tc>
          <w:tcPr>
            <w:tcW w:w="3120" w:type="dxa"/>
            <w:vAlign w:val="center"/>
          </w:tcPr>
          <w:p w14:paraId="1604A9EE" w14:textId="77777777" w:rsidR="006E487A" w:rsidRDefault="00BA6D23">
            <w:pPr>
              <w:spacing w:after="40"/>
            </w:pPr>
            <w:r>
              <w:rPr>
                <w:color w:val="1A2B4A"/>
                <w:sz w:val="20"/>
              </w:rPr>
              <w:t>L3  feature panel</w:t>
            </w:r>
          </w:p>
        </w:tc>
        <w:tc>
          <w:tcPr>
            <w:tcW w:w="3120" w:type="dxa"/>
            <w:vAlign w:val="center"/>
          </w:tcPr>
          <w:p w14:paraId="4BF7D61E" w14:textId="77777777" w:rsidR="006E487A" w:rsidRDefault="00BA6D23">
            <w:pPr>
              <w:spacing w:after="40"/>
            </w:pPr>
            <w:r>
              <w:rPr>
                <w:color w:val="1A2B4A"/>
                <w:sz w:val="20"/>
              </w:rPr>
              <w:t>P2</w:t>
            </w:r>
          </w:p>
        </w:tc>
        <w:tc>
          <w:tcPr>
            <w:tcW w:w="3120" w:type="dxa"/>
            <w:vAlign w:val="center"/>
          </w:tcPr>
          <w:p w14:paraId="7DDE21C0" w14:textId="77777777" w:rsidR="006E487A" w:rsidRDefault="00BA6D23">
            <w:pPr>
              <w:spacing w:after="40"/>
            </w:pPr>
            <w:r>
              <w:rPr>
                <w:color w:val="1A2B4A"/>
                <w:sz w:val="20"/>
              </w:rPr>
              <w:t>One versioned table; models read only this</w:t>
            </w:r>
          </w:p>
        </w:tc>
      </w:tr>
      <w:tr w:rsidR="006E487A" w14:paraId="0424896E" w14:textId="77777777">
        <w:tc>
          <w:tcPr>
            <w:tcW w:w="3120" w:type="dxa"/>
            <w:vAlign w:val="center"/>
          </w:tcPr>
          <w:p w14:paraId="1A6FBE46" w14:textId="77777777" w:rsidR="006E487A" w:rsidRDefault="00BA6D23">
            <w:pPr>
              <w:spacing w:after="40"/>
            </w:pPr>
            <w:r>
              <w:rPr>
                <w:color w:val="1A2B4A"/>
                <w:sz w:val="20"/>
              </w:rPr>
              <w:t>L4a  models (hazard, timing, siting)</w:t>
            </w:r>
          </w:p>
        </w:tc>
        <w:tc>
          <w:tcPr>
            <w:tcW w:w="3120" w:type="dxa"/>
            <w:vAlign w:val="center"/>
          </w:tcPr>
          <w:p w14:paraId="4BE342F8" w14:textId="77777777" w:rsidR="006E487A" w:rsidRDefault="00BA6D23">
            <w:pPr>
              <w:spacing w:after="40"/>
            </w:pPr>
            <w:r>
              <w:rPr>
                <w:color w:val="1A2B4A"/>
                <w:sz w:val="20"/>
              </w:rPr>
              <w:t>P1</w:t>
            </w:r>
          </w:p>
        </w:tc>
        <w:tc>
          <w:tcPr>
            <w:tcW w:w="3120" w:type="dxa"/>
            <w:vAlign w:val="center"/>
          </w:tcPr>
          <w:p w14:paraId="688CFF21" w14:textId="77777777" w:rsidR="006E487A" w:rsidRDefault="00BA6D23">
            <w:pPr>
              <w:spacing w:after="40"/>
            </w:pPr>
            <w:r>
              <w:rPr>
                <w:color w:val="1A2B4A"/>
                <w:sz w:val="20"/>
              </w:rPr>
              <w:t>Backtest reproducible from the manifest</w:t>
            </w:r>
          </w:p>
        </w:tc>
      </w:tr>
      <w:tr w:rsidR="006E487A" w14:paraId="0034BDC6" w14:textId="77777777">
        <w:tc>
          <w:tcPr>
            <w:tcW w:w="3120" w:type="dxa"/>
            <w:vAlign w:val="center"/>
          </w:tcPr>
          <w:p w14:paraId="08B8FEC8" w14:textId="77777777" w:rsidR="006E487A" w:rsidRDefault="00BA6D23">
            <w:pPr>
              <w:spacing w:after="40"/>
            </w:pPr>
            <w:r>
              <w:rPr>
                <w:color w:val="1A2B4A"/>
                <w:sz w:val="20"/>
              </w:rPr>
              <w:t>L4b  causal identification (decay + synthetic control)</w:t>
            </w:r>
          </w:p>
        </w:tc>
        <w:tc>
          <w:tcPr>
            <w:tcW w:w="3120" w:type="dxa"/>
            <w:vAlign w:val="center"/>
          </w:tcPr>
          <w:p w14:paraId="3C12EC83" w14:textId="77777777" w:rsidR="006E487A" w:rsidRDefault="00BA6D23">
            <w:pPr>
              <w:spacing w:after="40"/>
            </w:pPr>
            <w:r>
              <w:rPr>
                <w:color w:val="1A2B4A"/>
                <w:sz w:val="20"/>
              </w:rPr>
              <w:t>P1</w:t>
            </w:r>
          </w:p>
        </w:tc>
        <w:tc>
          <w:tcPr>
            <w:tcW w:w="3120" w:type="dxa"/>
            <w:vAlign w:val="center"/>
          </w:tcPr>
          <w:p w14:paraId="3D083DB9" w14:textId="77777777" w:rsidR="006E487A" w:rsidRDefault="00BA6D23">
            <w:pPr>
              <w:spacing w:after="40"/>
            </w:pPr>
            <w:r>
              <w:rPr>
                <w:color w:val="1A2B4A"/>
                <w:sz w:val="20"/>
              </w:rPr>
              <w:t>Decay curve and synthetic-control estimates locked and sensitivity-tested</w:t>
            </w:r>
          </w:p>
        </w:tc>
      </w:tr>
      <w:tr w:rsidR="006E487A" w14:paraId="0034BDC6" w14:textId="77777777">
        <w:tc>
          <w:tcPr>
            <w:tcW w:w="3120" w:type="dxa"/>
            <w:vAlign w:val="center"/>
          </w:tcPr>
          <w:p w14:paraId="08B8FEC8" w14:textId="77777777" w:rsidR="006E487A" w:rsidRDefault="00BA6D23">
            <w:pPr>
              <w:spacing w:after="40"/>
            </w:pPr>
            <w:r>
              <w:rPr>
                <w:color w:val="1A2B4A"/>
                <w:sz w:val="20"/>
              </w:rPr>
              <w:t>Agent, MCP tools and the six gates</w:t>
            </w:r>
          </w:p>
        </w:tc>
        <w:tc>
          <w:tcPr>
            <w:tcW w:w="3120" w:type="dxa"/>
            <w:vAlign w:val="center"/>
          </w:tcPr>
          <w:p w14:paraId="3C12EC83" w14:textId="77777777" w:rsidR="006E487A" w:rsidRDefault="00BA6D23">
            <w:pPr>
              <w:spacing w:after="40"/>
            </w:pPr>
            <w:r>
              <w:rPr>
                <w:color w:val="1A2B4A"/>
                <w:sz w:val="20"/>
              </w:rPr>
              <w:t>P1</w:t>
            </w:r>
          </w:p>
        </w:tc>
        <w:tc>
          <w:tcPr>
            <w:tcW w:w="3120" w:type="dxa"/>
            <w:vAlign w:val="center"/>
          </w:tcPr>
          <w:p w14:paraId="3D083DB9" w14:textId="77777777" w:rsidR="006E487A" w:rsidRDefault="00BA6D23">
            <w:pPr>
              <w:spacing w:after="40"/>
            </w:pPr>
            <w:r>
              <w:rPr>
                <w:color w:val="1A2B4A"/>
                <w:sz w:val="20"/>
              </w:rPr>
              <w:t>Adversarial mutation set passing at the pre-registered threshold</w:t>
            </w:r>
          </w:p>
        </w:tc>
      </w:tr>
      <w:tr w:rsidR="006E487A" w14:paraId="0034BDC6" w14:textId="77777777">
        <w:tc>
          <w:tcPr>
            <w:tcW w:w="3120" w:type="dxa"/>
            <w:vAlign w:val="center"/>
          </w:tcPr>
          <w:p w14:paraId="08B8FEC8" w14:textId="77777777" w:rsidR="006E487A" w:rsidRDefault="00BA6D23">
            <w:pPr>
              <w:spacing w:after="40"/>
            </w:pPr>
            <w:r>
              <w:rPr>
                <w:color w:val="1A2B4A"/>
                <w:sz w:val="20"/>
              </w:rPr>
              <w:t>Decision layer: Monte Carlo NPV and rank stability</w:t>
            </w:r>
          </w:p>
        </w:tc>
        <w:tc>
          <w:tcPr>
            <w:tcW w:w="3120" w:type="dxa"/>
            <w:vAlign w:val="center"/>
          </w:tcPr>
          <w:p w14:paraId="3C12EC83" w14:textId="77777777" w:rsidR="006E487A" w:rsidRDefault="00BA6D23">
            <w:pPr>
              <w:spacing w:after="40"/>
            </w:pPr>
            <w:r>
              <w:rPr>
                <w:color w:val="1A2B4A"/>
                <w:sz w:val="20"/>
              </w:rPr>
              <w:t>P3</w:t>
            </w:r>
          </w:p>
        </w:tc>
        <w:tc>
          <w:tcPr>
            <w:tcW w:w="3120" w:type="dxa"/>
            <w:vAlign w:val="center"/>
          </w:tcPr>
          <w:p w14:paraId="3D083DB9" w14:textId="77777777" w:rsidR="006E487A" w:rsidRDefault="00BA6D23">
            <w:pPr>
              <w:spacing w:after="40"/>
            </w:pPr>
            <w:r>
              <w:rPr>
                <w:color w:val="1A2B4A"/>
                <w:sz w:val="20"/>
              </w:rPr>
              <w:t>Distributions reproducible from seeds; top-K stability reported per area</w:t>
            </w:r>
          </w:p>
        </w:tc>
      </w:tr>
      <w:tr w:rsidR="006E487A" w14:paraId="0034BDC6" w14:textId="77777777">
        <w:tc>
          <w:tcPr>
            <w:tcW w:w="3120" w:type="dxa"/>
            <w:vAlign w:val="center"/>
          </w:tcPr>
          <w:p w14:paraId="08B8FEC8" w14:textId="77777777" w:rsidR="006E487A" w:rsidRDefault="00BA6D23">
            <w:pPr>
              <w:spacing w:after="40"/>
            </w:pPr>
            <w:r>
              <w:rPr>
                <w:color w:val="1A2B4A"/>
                <w:sz w:val="20"/>
              </w:rPr>
              <w:t>Agent evaluation and gold query set</w:t>
            </w:r>
          </w:p>
        </w:tc>
        <w:tc>
          <w:tcPr>
            <w:tcW w:w="3120" w:type="dxa"/>
            <w:vAlign w:val="center"/>
          </w:tcPr>
          <w:p w14:paraId="3C12EC83" w14:textId="77777777" w:rsidR="006E487A" w:rsidRDefault="00BA6D23">
            <w:pPr>
              <w:spacing w:after="40"/>
            </w:pPr>
            <w:r>
              <w:rPr>
                <w:color w:val="1A2B4A"/>
                <w:sz w:val="20"/>
              </w:rPr>
              <w:t>P3</w:t>
            </w:r>
          </w:p>
        </w:tc>
        <w:tc>
          <w:tcPr>
            <w:tcW w:w="3120" w:type="dxa"/>
            <w:vAlign w:val="center"/>
          </w:tcPr>
          <w:p w14:paraId="3D083DB9" w14:textId="77777777" w:rsidR="006E487A" w:rsidRDefault="00BA6D23">
            <w:pPr>
              <w:spacing w:after="40"/>
            </w:pPr>
            <w:r>
              <w:rPr>
                <w:color w:val="1A2B4A"/>
                <w:sz w:val="20"/>
              </w:rPr>
              <w:t>100+ questions across four tiers; execution accuracy with Wilson intervals</w:t>
            </w:r>
          </w:p>
        </w:tc>
      </w:tr>
      <w:tr w:rsidR="006E487A" w14:paraId="45257623" w14:textId="77777777">
        <w:tc>
          <w:tcPr>
            <w:tcW w:w="3120" w:type="dxa"/>
            <w:vAlign w:val="center"/>
          </w:tcPr>
          <w:p w14:paraId="02610710" w14:textId="77777777" w:rsidR="006E487A" w:rsidRDefault="00BA6D23">
            <w:pPr>
              <w:spacing w:after="40"/>
            </w:pPr>
            <w:r>
              <w:rPr>
                <w:color w:val="1A2B4A"/>
                <w:sz w:val="20"/>
              </w:rPr>
              <w:t>Drive-time matrix (offline, per metro)</w:t>
            </w:r>
          </w:p>
        </w:tc>
        <w:tc>
          <w:tcPr>
            <w:tcW w:w="3120" w:type="dxa"/>
            <w:vAlign w:val="center"/>
          </w:tcPr>
          <w:p w14:paraId="5F5891C8" w14:textId="77777777" w:rsidR="006E487A" w:rsidRDefault="00BA6D23">
            <w:pPr>
              <w:spacing w:after="40"/>
            </w:pPr>
            <w:r>
              <w:rPr>
                <w:color w:val="1A2B4A"/>
                <w:sz w:val="20"/>
              </w:rPr>
              <w:t>P2</w:t>
            </w:r>
          </w:p>
        </w:tc>
        <w:tc>
          <w:tcPr>
            <w:tcW w:w="3120" w:type="dxa"/>
            <w:vAlign w:val="center"/>
          </w:tcPr>
          <w:p w14:paraId="63DD8ADF" w14:textId="77777777" w:rsidR="006E487A" w:rsidRDefault="00BA6D23">
            <w:pPr>
              <w:spacing w:after="40"/>
            </w:pPr>
            <w:r>
              <w:rPr>
                <w:color w:val="1A2B4A"/>
                <w:sz w:val="20"/>
              </w:rPr>
              <w:t>OD matrices committed; every routing artifact deleted after extraction</w:t>
            </w:r>
          </w:p>
        </w:tc>
      </w:tr>
      <w:tr w:rsidR="006E487A" w14:paraId="45257623" w14:textId="77777777">
        <w:tc>
          <w:tcPr>
            <w:tcW w:w="3120" w:type="dxa"/>
            <w:vAlign w:val="center"/>
          </w:tcPr>
          <w:p w14:paraId="02610710" w14:textId="77777777" w:rsidR="006E487A" w:rsidRDefault="00BA6D23">
            <w:pPr>
              <w:spacing w:after="40"/>
            </w:pPr>
            <w:r>
              <w:rPr>
                <w:color w:val="1A2B4A"/>
                <w:sz w:val="20"/>
              </w:rPr>
              <w:t>Cost model and capital buckets</w:t>
            </w:r>
          </w:p>
        </w:tc>
        <w:tc>
          <w:tcPr>
            <w:tcW w:w="3120" w:type="dxa"/>
            <w:vAlign w:val="center"/>
          </w:tcPr>
          <w:p w14:paraId="5F5891C8" w14:textId="77777777" w:rsidR="006E487A" w:rsidRDefault="00BA6D23">
            <w:pPr>
              <w:spacing w:after="40"/>
            </w:pPr>
            <w:r>
              <w:rPr>
                <w:color w:val="1A2B4A"/>
                <w:sz w:val="20"/>
              </w:rPr>
              <w:t>P2</w:t>
            </w:r>
          </w:p>
        </w:tc>
        <w:tc>
          <w:tcPr>
            <w:tcW w:w="3120" w:type="dxa"/>
            <w:vAlign w:val="center"/>
          </w:tcPr>
          <w:p w14:paraId="63DD8ADF" w14:textId="77777777" w:rsidR="006E487A" w:rsidRDefault="00BA6D23">
            <w:pPr>
              <w:spacing w:after="40"/>
            </w:pPr>
            <w:r>
              <w:rPr>
                <w:color w:val="1A2B4A"/>
                <w:sz w:val="20"/>
              </w:rPr>
              <w:t>Per-package cost function tested; eight buckets sourced and sensitivity-ranked</w:t>
            </w:r>
          </w:p>
        </w:tc>
      </w:tr>
      <w:tr w:rsidR="006E487A" w14:paraId="45257623" w14:textId="77777777">
        <w:tc>
          <w:tcPr>
            <w:tcW w:w="3120" w:type="dxa"/>
            <w:vAlign w:val="center"/>
          </w:tcPr>
          <w:p w14:paraId="02610710" w14:textId="77777777" w:rsidR="006E487A" w:rsidRDefault="00BA6D23">
            <w:pPr>
              <w:spacing w:after="40"/>
            </w:pPr>
            <w:r>
              <w:rPr>
                <w:color w:val="1A2B4A"/>
                <w:sz w:val="20"/>
              </w:rPr>
              <w:t>CI, data contracts and reproducibility</w:t>
            </w:r>
          </w:p>
        </w:tc>
        <w:tc>
          <w:tcPr>
            <w:tcW w:w="3120" w:type="dxa"/>
            <w:vAlign w:val="center"/>
          </w:tcPr>
          <w:p w14:paraId="5F5891C8" w14:textId="77777777" w:rsidR="006E487A" w:rsidRDefault="00BA6D23">
            <w:pPr>
              <w:spacing w:after="40"/>
            </w:pPr>
            <w:r>
              <w:rPr>
                <w:color w:val="1A2B4A"/>
                <w:sz w:val="20"/>
              </w:rPr>
              <w:t>P2</w:t>
            </w:r>
          </w:p>
        </w:tc>
        <w:tc>
          <w:tcPr>
            <w:tcW w:w="3120" w:type="dxa"/>
            <w:vAlign w:val="center"/>
          </w:tcPr>
          <w:p w14:paraId="63DD8ADF" w14:textId="77777777" w:rsidR="006E487A" w:rsidRDefault="00BA6D23">
            <w:pPr>
              <w:spacing w:after="40"/>
            </w:pPr>
            <w:r>
              <w:rPr>
                <w:color w:val="1A2B4A"/>
                <w:sz w:val="20"/>
              </w:rPr>
              <w:t>A red build blocks merge; a cold clone rebuilds green</w:t>
            </w:r>
          </w:p>
        </w:tc>
      </w:tr>
      <w:tr w:rsidR="006E487A" w14:paraId="20AA9BF4" w14:textId="77777777">
        <w:tc>
          <w:tcPr>
            <w:tcW w:w="3120" w:type="dxa"/>
            <w:vAlign w:val="center"/>
          </w:tcPr>
          <w:p w14:paraId="4931F07C" w14:textId="77777777" w:rsidR="006E487A" w:rsidRDefault="00BA6D23">
            <w:pPr>
              <w:spacing w:after="40"/>
            </w:pPr>
            <w:r>
              <w:rPr>
                <w:color w:val="1A2B4A"/>
                <w:sz w:val="20"/>
              </w:rPr>
              <w:t>Application and public planning views</w:t>
            </w:r>
          </w:p>
        </w:tc>
        <w:tc>
          <w:tcPr>
            <w:tcW w:w="3120" w:type="dxa"/>
            <w:vAlign w:val="center"/>
          </w:tcPr>
          <w:p w14:paraId="1BE3A1BC" w14:textId="77777777" w:rsidR="006E487A" w:rsidRDefault="00BA6D23">
            <w:pPr>
              <w:spacing w:after="40"/>
            </w:pPr>
            <w:r>
              <w:rPr>
                <w:color w:val="1A2B4A"/>
                <w:sz w:val="20"/>
              </w:rPr>
              <w:t>P3</w:t>
            </w:r>
          </w:p>
        </w:tc>
        <w:tc>
          <w:tcPr>
            <w:tcW w:w="3120" w:type="dxa"/>
            <w:vAlign w:val="center"/>
          </w:tcPr>
          <w:p w14:paraId="06C0773A" w14:textId="77777777" w:rsidR="006E487A" w:rsidRDefault="00BA6D23">
            <w:pPr>
              <w:spacing w:after="40"/>
            </w:pPr>
            <w:r>
              <w:rPr>
                <w:color w:val="1A2B4A"/>
                <w:sz w:val="20"/>
              </w:rPr>
              <w:t>Loads under five seconds; reads L3/L4 outputs only</w:t>
            </w:r>
          </w:p>
        </w:tc>
      </w:tr>
      <w:tr w:rsidR="006E487A" w14:paraId="0B298249" w14:textId="77777777">
        <w:tc>
          <w:tcPr>
            <w:tcW w:w="3120" w:type="dxa"/>
            <w:vAlign w:val="center"/>
          </w:tcPr>
          <w:p w14:paraId="4C2D95BD" w14:textId="77777777" w:rsidR="006E487A" w:rsidRDefault="00BA6D23">
            <w:pPr>
              <w:spacing w:after="40"/>
            </w:pPr>
            <w:r>
              <w:rPr>
                <w:color w:val="1A2B4A"/>
                <w:sz w:val="20"/>
              </w:rPr>
              <w:t>Figure toolkit and equity overlay</w:t>
            </w:r>
          </w:p>
        </w:tc>
        <w:tc>
          <w:tcPr>
            <w:tcW w:w="3120" w:type="dxa"/>
            <w:vAlign w:val="center"/>
          </w:tcPr>
          <w:p w14:paraId="0BD6530C" w14:textId="77777777" w:rsidR="006E487A" w:rsidRDefault="00BA6D23">
            <w:pPr>
              <w:spacing w:after="40"/>
            </w:pPr>
            <w:r>
              <w:rPr>
                <w:color w:val="1A2B4A"/>
                <w:sz w:val="20"/>
              </w:rPr>
              <w:t>P3</w:t>
            </w:r>
          </w:p>
        </w:tc>
        <w:tc>
          <w:tcPr>
            <w:tcW w:w="3120" w:type="dxa"/>
            <w:vAlign w:val="center"/>
          </w:tcPr>
          <w:p w14:paraId="383CAF9A" w14:textId="77777777" w:rsidR="006E487A" w:rsidRDefault="00BA6D23">
            <w:pPr>
              <w:spacing w:after="40"/>
            </w:pPr>
            <w:r>
              <w:rPr>
                <w:color w:val="1A2B4A"/>
                <w:sz w:val="20"/>
              </w:rPr>
              <w:t>Every figure regenerable from source; EJScreen overlay live</w:t>
            </w:r>
          </w:p>
        </w:tc>
      </w:tr>
      <w:tr w:rsidR="006E487A" w14:paraId="4A38252D" w14:textId="77777777">
        <w:tc>
          <w:tcPr>
            <w:tcW w:w="3120" w:type="dxa"/>
            <w:vAlign w:val="center"/>
          </w:tcPr>
          <w:p w14:paraId="5277EE1B" w14:textId="77777777" w:rsidR="006E487A" w:rsidRDefault="00BA6D23">
            <w:pPr>
              <w:spacing w:after="40"/>
            </w:pPr>
            <w:r>
              <w:rPr>
                <w:color w:val="1A2B4A"/>
                <w:sz w:val="20"/>
              </w:rPr>
              <w:t>Executive deck, public write-up, dataset release</w:t>
            </w:r>
          </w:p>
        </w:tc>
        <w:tc>
          <w:tcPr>
            <w:tcW w:w="3120" w:type="dxa"/>
            <w:vAlign w:val="center"/>
          </w:tcPr>
          <w:p w14:paraId="5DF65581" w14:textId="77777777" w:rsidR="006E487A" w:rsidRDefault="00BA6D23">
            <w:pPr>
              <w:spacing w:after="40"/>
            </w:pPr>
            <w:r>
              <w:rPr>
                <w:color w:val="1A2B4A"/>
                <w:sz w:val="20"/>
              </w:rPr>
              <w:t>P3</w:t>
            </w:r>
          </w:p>
        </w:tc>
        <w:tc>
          <w:tcPr>
            <w:tcW w:w="3120" w:type="dxa"/>
            <w:vAlign w:val="center"/>
          </w:tcPr>
          <w:p w14:paraId="4E3B0B95" w14:textId="77777777" w:rsidR="006E487A" w:rsidRDefault="00BA6D23">
            <w:pPr>
              <w:spacing w:after="40"/>
            </w:pPr>
            <w:r>
              <w:rPr>
                <w:color w:val="1A2B4A"/>
                <w:sz w:val="20"/>
              </w:rPr>
              <w:t>Deck defended; open dataset published under CC-BY with DOI</w:t>
            </w:r>
          </w:p>
        </w:tc>
      </w:tr>
    </w:tbl>
    <w:p w14:paraId="66F70537" w14:textId="77777777" w:rsidR="006E487A" w:rsidRDefault="006E487A">
      <w:pPr>
        <w:spacing w:after="40"/>
      </w:pPr>
    </w:p>
    <w:p w14:paraId="2D8FEEF7" w14:textId="77777777" w:rsidR="006E487A" w:rsidRDefault="00BA6D23">
      <w:pPr>
        <w:pStyle w:val="Heading2"/>
      </w:pPr>
      <w:bookmarkStart w:id="37" w:name="_Toc239881143"/>
      <w:r>
        <w:t>6.1  P1  —  Sharada Dogiparthi</w:t>
      </w:r>
      <w:bookmarkEnd w:id="37"/>
    </w:p>
    <w:p w14:paraId="05CF475C" w14:textId="77777777" w:rsidR="006E487A" w:rsidRDefault="00BA6D23">
      <w:r>
        <w:t>Owns overall technical direction, methodology, and final system integration. Specific modules:</w:t>
      </w:r>
    </w:p>
    <w:p w14:paraId="7BF14ECA" w14:textId="77777777" w:rsidR="006E487A" w:rsidRDefault="00BA6D23">
      <w:pPr>
        <w:pStyle w:val="ListBullet"/>
      </w:pPr>
      <w:r>
        <w:t>End-to-end system architecture across ingestion, warehouse, modeling, causal identification, agentic RAG, and Streamlit delivery.</w:t>
      </w:r>
    </w:p>
    <w:p w14:paraId="73688853" w14:textId="77777777" w:rsidR="006E487A" w:rsidRDefault="00BA6D23">
      <w:pPr>
        <w:pStyle w:val="ListBullet"/>
      </w:pPr>
      <w:r>
        <w:t>Data warehouse (DuckDB Kimball-style star schema) design: DDL, dbt Core models, fact and dimension logic, including the scenario dimension that makes any published number replayable.</w:t>
      </w:r>
    </w:p>
    <w:p w14:paraId="0C42DC8E" w14:textId="77777777" w:rsidR="006E487A" w:rsidRDefault="00BA6D23">
      <w:pPr>
        <w:pStyle w:val="ListBullet"/>
      </w:pPr>
      <w:r>
        <w:t>Primary model implementation: discrete-time hazard model of service enablement at ZCTA grain (Objective 1), plus a zero-inflated negative binomial as secondary specification-recovery for the intermediate count target.</w:t>
      </w:r>
    </w:p>
    <w:p w14:paraId="7C13E58F" w14:textId="77777777" w:rsidR="006E487A" w:rsidRDefault="00BA6D23">
      <w:pPr>
        <w:pStyle w:val="ListBullet"/>
      </w:pPr>
      <w:r>
        <w:t>Causal identification layer: spatial synthetic control with the Pollmann distance-band estimator, causally estimated weight matrix W with a pre-registered decay curve (Objective 2).</w:t>
      </w:r>
    </w:p>
    <w:p w14:paraId="225AA513" w14:textId="77777777" w:rsidR="006E487A" w:rsidRDefault="00BA6D23">
      <w:pPr>
        <w:pStyle w:val="ListBullet"/>
      </w:pPr>
      <w:r>
        <w:t>LangChain ReAct agent + Model Context Protocol tool wrapping for SQL generation, spatial visualisation, and the Warehouse_Mutator with its six identification-integrity gates (Objective 3).</w:t>
      </w:r>
    </w:p>
    <w:p w14:paraId="0A7B82C7" w14:textId="77777777" w:rsidR="006E487A" w:rsidRDefault="00BA6D23">
      <w:pPr>
        <w:pStyle w:val="ListBullet"/>
      </w:pPr>
      <w:r>
        <w:t>Portfolio optimiser over the candidate set, with the greedy-versus-optimised gap reported, and split conformal coverage on the 2024–25 out-of-time backtest.</w:t>
      </w:r>
    </w:p>
    <w:p w14:paraId="3F54BA99" w14:textId="77777777" w:rsidR="006E487A" w:rsidRDefault="00BA6D23">
      <w:pPr>
        <w:pStyle w:val="ListBullet"/>
      </w:pPr>
      <w:r>
        <w:t>Methods-paper draft, and the Week-8 decision on whether the inferential-integrity result is submitted to a workshop or archived as a preprint.</w:t>
      </w:r>
    </w:p>
    <w:p w14:paraId="3087632A" w14:textId="77777777" w:rsidR="006E487A" w:rsidRDefault="00BA6D23">
      <w:r>
        <w:t>Prior relevant experience: Sharada Dogiparthi currently serves as AI Analytics Intern at Lumentum, engineering a Workday + Databricks + Streamlit workforce analytics platform for over 15,000 employees. Prior Deloitte SAP data-platform migration experience and Computer Science training in OpenCV / PyTorch support the warehouse, modeling, OSRM, and PyDeck layers of this project.</w:t>
      </w:r>
    </w:p>
    <w:p w14:paraId="54F40518" w14:textId="77777777" w:rsidR="006E487A" w:rsidRDefault="00BA6D23">
      <w:pPr>
        <w:pStyle w:val="Heading2"/>
      </w:pPr>
      <w:bookmarkStart w:id="38" w:name="_Toc239881144"/>
      <w:r>
        <w:t>6.2  P2  —  Srilekha Budithi</w:t>
      </w:r>
      <w:bookmarkEnd w:id="38"/>
    </w:p>
    <w:p w14:paraId="30744475" w14:textId="77777777" w:rsidR="006E487A" w:rsidRDefault="00BA6D23">
      <w:r>
        <w:t>Owns data-source execution, validation, testing, and reproducibility modules that keep the project's public-data-only claim defensible. Specific modules:</w:t>
      </w:r>
    </w:p>
    <w:p w14:paraId="77731511" w14:textId="77777777" w:rsidR="006E487A" w:rsidRDefault="00BA6D23">
      <w:pPr>
        <w:pStyle w:val="ListBullet"/>
      </w:pPr>
      <w:r>
        <w:t>Ingestion pipelines for the nine analytical sources - Census ACS (five-year and one-year), TIGER/Line shapefiles, Zillow ZORI and ZHVI, Census County Business Patterns (the retail-density source that replaces any commercial business directory), the Census Building Permits Survey, BLS OES metro wages, EIA regional energy prices, the public facility panel with open dates, and EPA EJScreen - plus the OpenStreetMap extracts used once offline for drive times.</w:t>
      </w:r>
    </w:p>
    <w:p w14:paraId="14FC21D8" w14:textId="77777777" w:rsidR="006E487A" w:rsidRDefault="00BA6D23">
      <w:pPr>
        <w:pStyle w:val="ListBullet"/>
      </w:pPr>
      <w:r>
        <w:t>Data contracts and schema-drift detection on every ingested source; hand-verification of a 100-facility sample from the public facility panel and the measured label-error rate reported in Section 4.5.</w:t>
      </w:r>
    </w:p>
    <w:p w14:paraId="14FC21D8" w14:textId="77777777" w:rsidR="006E487A" w:rsidRDefault="00BA6D23">
      <w:pPr>
        <w:pStyle w:val="ListBullet"/>
      </w:pPr>
      <w:r>
        <w:t>The L3 feature panel: the single versioned ZCTA-quarter table every model reads, including the rate-of-change features derived from the monthly sources in Section 4.2 and the propagation of published census margins of error into the uncertainty layer.</w:t>
      </w:r>
    </w:p>
    <w:p w14:paraId="27AB07E7" w14:textId="77777777" w:rsidR="006E487A" w:rsidRDefault="00BA6D23">
      <w:pPr>
        <w:pStyle w:val="ListBullet"/>
      </w:pPr>
      <w:r>
        <w:t>OSRM Docker container setup and offline OpenStreetMap extract preparation for the ten pilot metros; drive-time matrix extraction, and calibration of the circuity approximation against routed ground truth on one metro as the documented alternative to routing (Sec 5.9).</w:t>
      </w:r>
    </w:p>
    <w:p w14:paraId="27AB07E7" w14:textId="77777777" w:rsidR="006E487A" w:rsidRDefault="00BA6D23">
      <w:pPr>
        <w:pStyle w:val="ListBullet"/>
      </w:pPr>
      <w:r>
        <w:t>Cost model: the Daganzo per-package cost function evaluated over the precomputed drive-time matrix, and the eight metro-varying capital buckets with their public proxies and sensitivity ranking (Section 5.5).</w:t>
      </w:r>
    </w:p>
    <w:p w14:paraId="675AF7BE" w14:textId="77777777" w:rsidR="006E487A" w:rsidRDefault="00BA6D23">
      <w:pPr>
        <w:pStyle w:val="ListBullet"/>
      </w:pPr>
      <w:r>
        <w:t>Automated test suite (pytest with coverage above eighty percent on data and warehouse modules) covering ingestion contracts, warehouse row-count invariants, and model-output validation; CI configuration on GitHub Actions with red-build-blocks-merge.</w:t>
      </w:r>
    </w:p>
    <w:p w14:paraId="27DF1129" w14:textId="77777777" w:rsidR="006E487A" w:rsidRDefault="00BA6D23">
      <w:pPr>
        <w:pStyle w:val="ListBullet"/>
      </w:pPr>
      <w:r>
        <w:t>Dashboard QA, documentation review, presentation slide preparation, and Zoom presentation delivery.</w:t>
      </w:r>
    </w:p>
    <w:p w14:paraId="33A22345" w14:textId="77777777" w:rsidR="006E487A" w:rsidRDefault="00BA6D23">
      <w:r>
        <w:t>Prior relevant experience: Srilekha Budithi worked as a Technical Intern — Quality Management Systems, RDQ at Kite Pharma, building a Power BI dashboard from Veeva Vault exports with Power Query ETL and DAX KPI measures. Her RDQ quality-metrics, report-automation, CAPA / deviation, and audit-readiness experience directly supports this project's QA, testing, validation, and delivery-readiness responsibilities.</w:t>
      </w:r>
    </w:p>
    <w:p w14:paraId="6E2FCB94" w14:textId="77777777" w:rsidR="006E487A" w:rsidRDefault="00BA6D23">
      <w:pPr>
        <w:pStyle w:val="Heading2"/>
      </w:pPr>
      <w:bookmarkStart w:id="39" w:name="_Toc239881145"/>
      <w:r>
        <w:t>6.3  P3  —  Rakshitha Venigalla</w:t>
      </w:r>
      <w:bookmarkEnd w:id="39"/>
    </w:p>
    <w:p w14:paraId="3AA1F1D7" w14:textId="77777777" w:rsidR="006E487A" w:rsidRDefault="00BA6D23">
      <w:r>
        <w:t>Owns application delivery, data-visualisation surfaces, and executive-communication modules that translate the analytical stack into a shipped product. Specific modules:</w:t>
      </w:r>
    </w:p>
    <w:p w14:paraId="71C78F5B" w14:textId="77777777" w:rsidR="006E487A" w:rsidRDefault="00BA6D23">
      <w:pPr>
        <w:pStyle w:val="ListBullet"/>
      </w:pPr>
      <w:r>
        <w:t>Streamlit + PyDeck dashboard build-out across four tabs: an expansion map rendering the ten pilot metros' ZCTA choropleth colour-encoded by enablement hazard, a ZCTA drilldown with the SHAP attribution breakdown, an agent chat tab exposing the LangChain ReAct interface, and the Warehouse_Mutator UI with the six-gate decision trace and the human-in-the-loop confirmation surface.</w:t>
      </w:r>
    </w:p>
    <w:p w14:paraId="71C78F5B" w14:textId="77777777" w:rsidR="006E487A" w:rsidRDefault="00BA6D23">
      <w:pPr>
        <w:pStyle w:val="ListBullet"/>
      </w:pPr>
      <w:r>
        <w:t>Decision layer: the Monte Carlo net-present-value simulation with its bootstrap confidence interval on the median, top-K rank-stability reporting, the capital-bucket sensitivity plot, and validation of aggregated capital against public capital-expenditure disclosures (Section 5.6).</w:t>
      </w:r>
    </w:p>
    <w:p w14:paraId="0FD3967D" w14:textId="77777777" w:rsidR="006E487A" w:rsidRDefault="00BA6D23">
      <w:pPr>
        <w:pStyle w:val="ListBullet"/>
      </w:pPr>
      <w:r>
        <w:t>LLM narrator for auto-generated ZCTA-level executive summaries inside the dashboard, served through the hosted inference API budgeted in Section 8, with responses cached per ZCTA and a hard per-session call cap.</w:t>
      </w:r>
    </w:p>
    <w:p w14:paraId="0FD3967D" w14:textId="77777777" w:rsidR="006E487A" w:rsidRDefault="00BA6D23">
      <w:pPr>
        <w:pStyle w:val="ListBullet"/>
      </w:pPr>
      <w:r>
        <w:t>Independent evaluation of the agent: the hundred-question benchmark across four difficulty tiers, the gold query set and its error audit, and execution-accuracy reporting with Wilson intervals — built separately from the agent implementation so that the system is not graded by its author.</w:t>
      </w:r>
    </w:p>
    <w:p w14:paraId="4340F9C6" w14:textId="77777777" w:rsidR="006E487A" w:rsidRDefault="00BA6D23">
      <w:pPr>
        <w:pStyle w:val="ListBullet"/>
      </w:pPr>
      <w:r>
        <w:t>Equity-audit surface stratifying every ranked ZCTA by ACS majority-demographic group and EPA EJScreen indicator (Section 4.5), plus in-app cost telemetry via a Streamlit sidebar so all three teammates monitor OpenRouter spend in real time against the $80 estimated / $100 hard-cap budget.</w:t>
      </w:r>
    </w:p>
    <w:p w14:paraId="2EBAFBE5" w14:textId="77777777" w:rsidR="006E487A" w:rsidRDefault="00BA6D23">
      <w:pPr>
        <w:pStyle w:val="ListBullet"/>
      </w:pPr>
      <w:r>
        <w:t>Figure toolkit that regenerates every figure in the deck and the methods paper from source, with per-figure unit tests to catch silent data drift.</w:t>
      </w:r>
    </w:p>
    <w:p w14:paraId="565E474C" w14:textId="77777777" w:rsidR="006E487A" w:rsidRDefault="00BA6D23">
      <w:pPr>
        <w:pStyle w:val="ListBullet"/>
      </w:pPr>
      <w:r>
        <w:t>Application deployment to Hugging Face Spaces (free tier) and the twenty-six-slide overview deck and the thirty-slide technical supplement, both carrying presenter notes.</w:t>
      </w:r>
    </w:p>
    <w:p w14:paraId="79E216E8" w14:textId="77777777" w:rsidR="006E487A" w:rsidRDefault="00BA6D23">
      <w:pPr>
        <w:pStyle w:val="ListBullet"/>
      </w:pPr>
      <w:r>
        <w:t>LinkedIn and Medium reproducibility post series, documentation review, and the open-dataset release under CC-BY with a citation-ready DOI.</w:t>
      </w:r>
    </w:p>
    <w:p w14:paraId="7195BC7D" w14:textId="77777777" w:rsidR="006E487A" w:rsidRDefault="00BA6D23">
      <w:r>
        <w:t>Prior relevant experience: Rakshitha Venigalla currently serves as Marketing Intern at California State University, East Bay, working on social-media strategy, content marketing, campaign management, and communication design for the university's outreach programs. That practice directly supports the visual and narrative delivery of the Streamlit application and the executive-communication artifacts produced by Objective 4.</w:t>
      </w:r>
    </w:p>
    <w:p w14:paraId="186CEB24" w14:textId="77777777" w:rsidR="006E487A" w:rsidRDefault="00BA6D23">
      <w:pPr>
        <w:pStyle w:val="Heading2"/>
      </w:pPr>
      <w:bookmarkStart w:id="40" w:name="_Toc239881146"/>
      <w:r>
        <w:t>6.4  Joint Ownership</w:t>
      </w:r>
      <w:bookmarkEnd w:id="40"/>
    </w:p>
    <w:p w14:paraId="258594ED" w14:textId="77777777" w:rsidR="006E487A" w:rsidRDefault="00BA6D23">
      <w:r>
        <w:t>The following deliverables are co-owned and require sign-off from all three teammates: the proposal submission, the midterm progress review, the final application deployment, the methods-paper submission, and the executive presentation. Weekly Monday-morning check-ins are joint and produce a one-page status brief.</w:t>
      </w:r>
    </w:p>
    <w:p w14:paraId="10AF2191" w14:textId="77777777" w:rsidR="006E487A" w:rsidRDefault="00BA6D23">
      <w:pPr>
        <w:pStyle w:val="Heading1"/>
      </w:pPr>
      <w:bookmarkStart w:id="41" w:name="_Toc239881147"/>
      <w:r>
        <w:t>7.  Timeline</w:t>
      </w:r>
      <w:bookmarkEnd w:id="41"/>
    </w:p>
    <w:p w14:paraId="29A76682" w14:textId="77777777" w:rsidR="006E487A" w:rsidRDefault="00BA6D23">
      <w:r>
        <w:t>Nine weeks, with the final week reserved for polish. Week 0 exists because six decisions are cheap to make now and expensive to reverse later.</w:t>
      </w:r>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2340"/>
        <w:gridCol w:w="2340"/>
        <w:gridCol w:w="2340"/>
        <w:gridCol w:w="2340"/>
      </w:tblGrid>
      <w:tr w:rsidR="006E487A" w14:paraId="12C897EA" w14:textId="77777777">
        <w:trPr>
          <w:tblHeader/>
        </w:trPr>
        <w:tc>
          <w:tcPr>
            <w:tcW w:w="2340" w:type="dxa"/>
            <w:shd w:val="clear" w:color="auto" w:fill="1A2B4A"/>
            <w:vAlign w:val="center"/>
          </w:tcPr>
          <w:p w14:paraId="161450DC" w14:textId="77777777" w:rsidR="006E487A" w:rsidRDefault="00BA6D23">
            <w:pPr>
              <w:spacing w:after="40"/>
            </w:pPr>
            <w:r>
              <w:rPr>
                <w:b/>
                <w:color w:val="FFFFFF"/>
                <w:sz w:val="20"/>
              </w:rPr>
              <w:t>Week</w:t>
            </w:r>
          </w:p>
        </w:tc>
        <w:tc>
          <w:tcPr>
            <w:tcW w:w="2340" w:type="dxa"/>
            <w:shd w:val="clear" w:color="auto" w:fill="1A2B4A"/>
            <w:vAlign w:val="center"/>
          </w:tcPr>
          <w:p w14:paraId="246ED447" w14:textId="77777777" w:rsidR="006E487A" w:rsidRDefault="00BA6D23">
            <w:pPr>
              <w:spacing w:after="40"/>
            </w:pPr>
            <w:r>
              <w:rPr>
                <w:b/>
                <w:color w:val="FFFFFF"/>
                <w:sz w:val="20"/>
              </w:rPr>
              <w:t>Focus</w:t>
            </w:r>
          </w:p>
        </w:tc>
        <w:tc>
          <w:tcPr>
            <w:tcW w:w="2340" w:type="dxa"/>
            <w:shd w:val="clear" w:color="auto" w:fill="1A2B4A"/>
            <w:vAlign w:val="center"/>
          </w:tcPr>
          <w:p w14:paraId="4AD25ECA" w14:textId="77777777" w:rsidR="006E487A" w:rsidRDefault="00BA6D23">
            <w:pPr>
              <w:spacing w:after="40"/>
            </w:pPr>
            <w:r>
              <w:rPr>
                <w:b/>
                <w:color w:val="FFFFFF"/>
                <w:sz w:val="20"/>
              </w:rPr>
              <w:t>Milestone</w:t>
            </w:r>
          </w:p>
        </w:tc>
        <w:tc>
          <w:tcPr>
            <w:tcW w:w="2340" w:type="dxa"/>
            <w:shd w:val="clear" w:color="auto" w:fill="1A2B4A"/>
            <w:vAlign w:val="center"/>
          </w:tcPr>
          <w:p w14:paraId="038B51AA" w14:textId="77777777" w:rsidR="006E487A" w:rsidRDefault="00BA6D23">
            <w:pPr>
              <w:spacing w:after="40"/>
            </w:pPr>
            <w:r>
              <w:rPr>
                <w:b/>
                <w:color w:val="FFFFFF"/>
                <w:sz w:val="20"/>
              </w:rPr>
              <w:t>Lead</w:t>
            </w:r>
          </w:p>
        </w:tc>
      </w:tr>
      <w:tr w:rsidR="006E487A" w14:paraId="5EBCB473" w14:textId="77777777">
        <w:tc>
          <w:tcPr>
            <w:tcW w:w="2340" w:type="dxa"/>
            <w:vAlign w:val="center"/>
          </w:tcPr>
          <w:p w14:paraId="3478A57B" w14:textId="77777777" w:rsidR="006E487A" w:rsidRDefault="00BA6D23">
            <w:pPr>
              <w:spacing w:after="40"/>
            </w:pPr>
            <w:r>
              <w:rPr>
                <w:color w:val="1A2B4A"/>
                <w:sz w:val="20"/>
              </w:rPr>
              <w:t>0</w:t>
            </w:r>
          </w:p>
        </w:tc>
        <w:tc>
          <w:tcPr>
            <w:tcW w:w="2340" w:type="dxa"/>
            <w:vAlign w:val="center"/>
          </w:tcPr>
          <w:p w14:paraId="13711F60" w14:textId="77777777" w:rsidR="006E487A" w:rsidRDefault="00BA6D23">
            <w:pPr>
              <w:spacing w:after="40"/>
            </w:pPr>
            <w:r>
              <w:rPr>
                <w:color w:val="1A2B4A"/>
                <w:sz w:val="20"/>
              </w:rPr>
              <w:t>Decisions and corrections</w:t>
            </w:r>
          </w:p>
        </w:tc>
        <w:tc>
          <w:tcPr>
            <w:tcW w:w="2340" w:type="dxa"/>
            <w:vAlign w:val="center"/>
          </w:tcPr>
          <w:p w14:paraId="75CD687C" w14:textId="77777777" w:rsidR="006E487A" w:rsidRDefault="00BA6D23">
            <w:pPr>
              <w:spacing w:after="40"/>
            </w:pPr>
            <w:r>
              <w:rPr>
                <w:color w:val="1A2B4A"/>
                <w:sz w:val="20"/>
              </w:rPr>
              <w:t>Estimand, routing strategy, source swap, scope and budget settled in writing</w:t>
            </w:r>
          </w:p>
        </w:tc>
        <w:tc>
          <w:tcPr>
            <w:tcW w:w="2340" w:type="dxa"/>
            <w:vAlign w:val="center"/>
          </w:tcPr>
          <w:p w14:paraId="642E493E" w14:textId="77777777" w:rsidR="006E487A" w:rsidRDefault="00BA6D23">
            <w:pPr>
              <w:spacing w:after="40"/>
            </w:pPr>
            <w:r>
              <w:rPr>
                <w:color w:val="1A2B4A"/>
                <w:sz w:val="20"/>
              </w:rPr>
              <w:t>All</w:t>
            </w:r>
          </w:p>
        </w:tc>
      </w:tr>
      <w:tr w:rsidR="006E487A" w14:paraId="33B9BA55" w14:textId="77777777">
        <w:tc>
          <w:tcPr>
            <w:tcW w:w="2340" w:type="dxa"/>
            <w:vAlign w:val="center"/>
          </w:tcPr>
          <w:p w14:paraId="08639352" w14:textId="77777777" w:rsidR="006E487A" w:rsidRDefault="00BA6D23">
            <w:pPr>
              <w:spacing w:after="40"/>
            </w:pPr>
            <w:r>
              <w:rPr>
                <w:color w:val="1A2B4A"/>
                <w:sz w:val="20"/>
              </w:rPr>
              <w:t>1</w:t>
            </w:r>
          </w:p>
        </w:tc>
        <w:tc>
          <w:tcPr>
            <w:tcW w:w="2340" w:type="dxa"/>
            <w:vAlign w:val="center"/>
          </w:tcPr>
          <w:p w14:paraId="6F1767B5" w14:textId="77777777" w:rsidR="006E487A" w:rsidRDefault="00BA6D23">
            <w:pPr>
              <w:spacing w:after="40"/>
            </w:pPr>
            <w:r>
              <w:rPr>
                <w:color w:val="1A2B4A"/>
                <w:sz w:val="20"/>
              </w:rPr>
              <w:t>Infrastructure and ingest</w:t>
            </w:r>
          </w:p>
        </w:tc>
        <w:tc>
          <w:tcPr>
            <w:tcW w:w="2340" w:type="dxa"/>
            <w:vAlign w:val="center"/>
          </w:tcPr>
          <w:p w14:paraId="6FF2906C" w14:textId="77777777" w:rsidR="006E487A" w:rsidRDefault="00BA6D23">
            <w:pPr>
              <w:spacing w:after="40"/>
            </w:pPr>
            <w:r>
              <w:rPr>
                <w:color w:val="1A2B4A"/>
                <w:sz w:val="20"/>
              </w:rPr>
              <w:t>Repo, CI, cache, contracts; first sources landing</w:t>
            </w:r>
          </w:p>
        </w:tc>
        <w:tc>
          <w:tcPr>
            <w:tcW w:w="2340" w:type="dxa"/>
            <w:vAlign w:val="center"/>
          </w:tcPr>
          <w:p w14:paraId="479B813C" w14:textId="77777777" w:rsidR="006E487A" w:rsidRDefault="00BA6D23">
            <w:pPr>
              <w:spacing w:after="40"/>
            </w:pPr>
            <w:r>
              <w:rPr>
                <w:color w:val="1A2B4A"/>
                <w:sz w:val="20"/>
              </w:rPr>
              <w:t>P2</w:t>
            </w:r>
          </w:p>
        </w:tc>
      </w:tr>
      <w:tr w:rsidR="006E487A" w14:paraId="375C2AB0" w14:textId="77777777">
        <w:tc>
          <w:tcPr>
            <w:tcW w:w="2340" w:type="dxa"/>
            <w:vAlign w:val="center"/>
          </w:tcPr>
          <w:p w14:paraId="772E190E" w14:textId="77777777" w:rsidR="006E487A" w:rsidRDefault="00BA6D23">
            <w:pPr>
              <w:spacing w:after="40"/>
            </w:pPr>
            <w:r>
              <w:rPr>
                <w:color w:val="1A2B4A"/>
                <w:sz w:val="20"/>
              </w:rPr>
              <w:t>2</w:t>
            </w:r>
          </w:p>
        </w:tc>
        <w:tc>
          <w:tcPr>
            <w:tcW w:w="2340" w:type="dxa"/>
            <w:vAlign w:val="center"/>
          </w:tcPr>
          <w:p w14:paraId="3E84278C" w14:textId="77777777" w:rsidR="006E487A" w:rsidRDefault="00BA6D23">
            <w:pPr>
              <w:spacing w:after="40"/>
            </w:pPr>
            <w:r>
              <w:rPr>
                <w:color w:val="1A2B4A"/>
                <w:sz w:val="20"/>
              </w:rPr>
              <w:t>Facility panel and warehouse</w:t>
            </w:r>
          </w:p>
        </w:tc>
        <w:tc>
          <w:tcPr>
            <w:tcW w:w="2340" w:type="dxa"/>
            <w:vAlign w:val="center"/>
          </w:tcPr>
          <w:p w14:paraId="6EEDEA44" w14:textId="77777777" w:rsidR="006E487A" w:rsidRDefault="00BA6D23">
            <w:pPr>
              <w:spacing w:after="40"/>
            </w:pPr>
            <w:r>
              <w:rPr>
                <w:color w:val="1A2B4A"/>
                <w:sz w:val="20"/>
              </w:rPr>
              <w:t>Target variable built, 100-facility verification complete, label-noise simulation harness in place; star schema live</w:t>
            </w:r>
          </w:p>
        </w:tc>
        <w:tc>
          <w:tcPr>
            <w:tcW w:w="2340" w:type="dxa"/>
            <w:vAlign w:val="center"/>
          </w:tcPr>
          <w:p w14:paraId="38412CB0" w14:textId="77777777" w:rsidR="006E487A" w:rsidRDefault="00BA6D23">
            <w:pPr>
              <w:spacing w:after="40"/>
            </w:pPr>
            <w:r>
              <w:rPr>
                <w:color w:val="1A2B4A"/>
                <w:sz w:val="20"/>
              </w:rPr>
              <w:t>P1 + P2</w:t>
            </w:r>
          </w:p>
        </w:tc>
      </w:tr>
      <w:tr w:rsidR="006E487A" w14:paraId="0E5B3416" w14:textId="77777777">
        <w:tc>
          <w:tcPr>
            <w:tcW w:w="2340" w:type="dxa"/>
            <w:vAlign w:val="center"/>
          </w:tcPr>
          <w:p w14:paraId="65DE781A" w14:textId="77777777" w:rsidR="006E487A" w:rsidRDefault="00BA6D23">
            <w:pPr>
              <w:spacing w:after="40"/>
            </w:pPr>
            <w:r>
              <w:rPr>
                <w:color w:val="1A2B4A"/>
                <w:sz w:val="20"/>
              </w:rPr>
              <w:t>3</w:t>
            </w:r>
          </w:p>
        </w:tc>
        <w:tc>
          <w:tcPr>
            <w:tcW w:w="2340" w:type="dxa"/>
            <w:vAlign w:val="center"/>
          </w:tcPr>
          <w:p w14:paraId="22B2794E" w14:textId="77777777" w:rsidR="006E487A" w:rsidRDefault="00BA6D23">
            <w:pPr>
              <w:spacing w:after="40"/>
            </w:pPr>
            <w:r>
              <w:rPr>
                <w:color w:val="1A2B4A"/>
                <w:sz w:val="20"/>
              </w:rPr>
              <w:t>Drive-time matrices and cost model</w:t>
            </w:r>
          </w:p>
        </w:tc>
        <w:tc>
          <w:tcPr>
            <w:tcW w:w="2340" w:type="dxa"/>
            <w:vAlign w:val="center"/>
          </w:tcPr>
          <w:p w14:paraId="33E4627A" w14:textId="77777777" w:rsidR="006E487A" w:rsidRDefault="00BA6D23">
            <w:pPr>
              <w:spacing w:after="40"/>
            </w:pPr>
            <w:r>
              <w:rPr>
                <w:color w:val="1A2B4A"/>
                <w:sz w:val="20"/>
              </w:rPr>
              <w:t>Matrices extracted, routing artifacts deleted, cost function tested</w:t>
            </w:r>
          </w:p>
        </w:tc>
        <w:tc>
          <w:tcPr>
            <w:tcW w:w="2340" w:type="dxa"/>
            <w:vAlign w:val="center"/>
          </w:tcPr>
          <w:p w14:paraId="5BA2C48D" w14:textId="77777777" w:rsidR="006E487A" w:rsidRDefault="00BA6D23">
            <w:pPr>
              <w:spacing w:after="40"/>
            </w:pPr>
            <w:r>
              <w:rPr>
                <w:color w:val="1A2B4A"/>
                <w:sz w:val="20"/>
              </w:rPr>
              <w:t>P2</w:t>
            </w:r>
          </w:p>
        </w:tc>
      </w:tr>
      <w:tr w:rsidR="006E487A" w14:paraId="1DF9C98D" w14:textId="77777777">
        <w:tc>
          <w:tcPr>
            <w:tcW w:w="2340" w:type="dxa"/>
            <w:vAlign w:val="center"/>
          </w:tcPr>
          <w:p w14:paraId="5BE9E1D1" w14:textId="77777777" w:rsidR="006E487A" w:rsidRDefault="00BA6D23">
            <w:pPr>
              <w:spacing w:after="40"/>
            </w:pPr>
            <w:r>
              <w:rPr>
                <w:color w:val="1A2B4A"/>
                <w:sz w:val="20"/>
              </w:rPr>
              <w:t>4</w:t>
            </w:r>
          </w:p>
        </w:tc>
        <w:tc>
          <w:tcPr>
            <w:tcW w:w="2340" w:type="dxa"/>
            <w:vAlign w:val="center"/>
          </w:tcPr>
          <w:p w14:paraId="3689071D" w14:textId="77777777" w:rsidR="006E487A" w:rsidRDefault="00BA6D23">
            <w:pPr>
              <w:spacing w:after="40"/>
            </w:pPr>
            <w:r>
              <w:rPr>
                <w:color w:val="1A2B4A"/>
                <w:sz w:val="20"/>
              </w:rPr>
              <w:t>Siting model and backtest</w:t>
            </w:r>
          </w:p>
        </w:tc>
        <w:tc>
          <w:tcPr>
            <w:tcW w:w="2340" w:type="dxa"/>
            <w:vAlign w:val="center"/>
          </w:tcPr>
          <w:p w14:paraId="41E2A480" w14:textId="77777777" w:rsidR="006E487A" w:rsidRDefault="00BA6D23">
            <w:pPr>
              <w:spacing w:after="40"/>
            </w:pPr>
            <w:r>
              <w:rPr>
                <w:color w:val="1A2B4A"/>
                <w:sz w:val="20"/>
              </w:rPr>
              <w:t>Out-of-time backtest with calibration, conformal coverage, label-noise bound and H3 robustness check</w:t>
            </w:r>
          </w:p>
        </w:tc>
        <w:tc>
          <w:tcPr>
            <w:tcW w:w="2340" w:type="dxa"/>
            <w:vAlign w:val="center"/>
          </w:tcPr>
          <w:p w14:paraId="2ECD887C" w14:textId="77777777" w:rsidR="006E487A" w:rsidRDefault="00BA6D23">
            <w:pPr>
              <w:spacing w:after="40"/>
            </w:pPr>
            <w:r>
              <w:rPr>
                <w:color w:val="1A2B4A"/>
                <w:sz w:val="20"/>
              </w:rPr>
              <w:t>P1</w:t>
            </w:r>
          </w:p>
        </w:tc>
      </w:tr>
      <w:tr w:rsidR="006E487A" w14:paraId="71A613CF" w14:textId="77777777">
        <w:tc>
          <w:tcPr>
            <w:tcW w:w="2340" w:type="dxa"/>
            <w:vAlign w:val="center"/>
          </w:tcPr>
          <w:p w14:paraId="12B5EB29" w14:textId="77777777" w:rsidR="006E487A" w:rsidRDefault="00BA6D23">
            <w:pPr>
              <w:spacing w:after="40"/>
            </w:pPr>
            <w:r>
              <w:rPr>
                <w:color w:val="1A2B4A"/>
                <w:sz w:val="20"/>
              </w:rPr>
              <w:t>5</w:t>
            </w:r>
          </w:p>
        </w:tc>
        <w:tc>
          <w:tcPr>
            <w:tcW w:w="2340" w:type="dxa"/>
            <w:vAlign w:val="center"/>
          </w:tcPr>
          <w:p w14:paraId="680B3B90" w14:textId="77777777" w:rsidR="006E487A" w:rsidRDefault="00BA6D23">
            <w:pPr>
              <w:spacing w:after="40"/>
            </w:pPr>
            <w:r>
              <w:rPr>
                <w:color w:val="1A2B4A"/>
                <w:sz w:val="20"/>
              </w:rPr>
              <w:t>Causal layer</w:t>
            </w:r>
          </w:p>
        </w:tc>
        <w:tc>
          <w:tcPr>
            <w:tcW w:w="2340" w:type="dxa"/>
            <w:vAlign w:val="center"/>
          </w:tcPr>
          <w:p w14:paraId="11F901F2" w14:textId="77777777" w:rsidR="006E487A" w:rsidRDefault="00BA6D23">
            <w:pPr>
              <w:spacing w:after="40"/>
            </w:pPr>
            <w:r>
              <w:rPr>
                <w:color w:val="1A2B4A"/>
                <w:sz w:val="20"/>
              </w:rPr>
              <w:t>Decay curve, placebo inference, W constructed from estimate; staggered-adoption donor pool; generated-regressor correction</w:t>
            </w:r>
          </w:p>
        </w:tc>
        <w:tc>
          <w:tcPr>
            <w:tcW w:w="2340" w:type="dxa"/>
            <w:vAlign w:val="center"/>
          </w:tcPr>
          <w:p w14:paraId="18CC5358" w14:textId="77777777" w:rsidR="006E487A" w:rsidRDefault="00BA6D23">
            <w:pPr>
              <w:spacing w:after="40"/>
            </w:pPr>
            <w:r>
              <w:rPr>
                <w:color w:val="1A2B4A"/>
                <w:sz w:val="20"/>
              </w:rPr>
              <w:t>P1</w:t>
            </w:r>
          </w:p>
        </w:tc>
      </w:tr>
      <w:tr w:rsidR="006E487A" w14:paraId="6C76540D" w14:textId="77777777">
        <w:tc>
          <w:tcPr>
            <w:tcW w:w="2340" w:type="dxa"/>
            <w:vAlign w:val="center"/>
          </w:tcPr>
          <w:p w14:paraId="0B52D8EC" w14:textId="77777777" w:rsidR="006E487A" w:rsidRDefault="00BA6D23">
            <w:pPr>
              <w:spacing w:after="40"/>
            </w:pPr>
            <w:r>
              <w:rPr>
                <w:color w:val="1A2B4A"/>
                <w:sz w:val="20"/>
              </w:rPr>
              <w:t>6</w:t>
            </w:r>
          </w:p>
        </w:tc>
        <w:tc>
          <w:tcPr>
            <w:tcW w:w="2340" w:type="dxa"/>
            <w:vAlign w:val="center"/>
          </w:tcPr>
          <w:p w14:paraId="04589ECB" w14:textId="77777777" w:rsidR="006E487A" w:rsidRDefault="00BA6D23">
            <w:pPr>
              <w:spacing w:after="40"/>
            </w:pPr>
            <w:r>
              <w:rPr>
                <w:color w:val="1A2B4A"/>
                <w:sz w:val="20"/>
              </w:rPr>
              <w:t>Decision layer and application</w:t>
            </w:r>
          </w:p>
        </w:tc>
        <w:tc>
          <w:tcPr>
            <w:tcW w:w="2340" w:type="dxa"/>
            <w:vAlign w:val="center"/>
          </w:tcPr>
          <w:p w14:paraId="56D0890B" w14:textId="77777777" w:rsidR="006E487A" w:rsidRDefault="00BA6D23">
            <w:pPr>
              <w:spacing w:after="40"/>
            </w:pPr>
            <w:r>
              <w:rPr>
                <w:color w:val="1A2B4A"/>
                <w:sz w:val="20"/>
              </w:rPr>
              <w:t>Monte Carlo, rank stability, portfolio optimiser; app deployed</w:t>
            </w:r>
          </w:p>
        </w:tc>
        <w:tc>
          <w:tcPr>
            <w:tcW w:w="2340" w:type="dxa"/>
            <w:vAlign w:val="center"/>
          </w:tcPr>
          <w:p w14:paraId="192646C9" w14:textId="77777777" w:rsidR="006E487A" w:rsidRDefault="00BA6D23">
            <w:pPr>
              <w:spacing w:after="40"/>
            </w:pPr>
            <w:r>
              <w:rPr>
                <w:color w:val="1A2B4A"/>
                <w:sz w:val="20"/>
              </w:rPr>
              <w:t>P1 + P3</w:t>
            </w:r>
          </w:p>
        </w:tc>
      </w:tr>
      <w:tr w:rsidR="006E487A" w14:paraId="0713755E" w14:textId="77777777">
        <w:tc>
          <w:tcPr>
            <w:tcW w:w="2340" w:type="dxa"/>
            <w:vAlign w:val="center"/>
          </w:tcPr>
          <w:p w14:paraId="1283580F" w14:textId="77777777" w:rsidR="006E487A" w:rsidRDefault="00BA6D23">
            <w:pPr>
              <w:spacing w:after="40"/>
            </w:pPr>
            <w:r>
              <w:rPr>
                <w:color w:val="1A2B4A"/>
                <w:sz w:val="20"/>
              </w:rPr>
              <w:t>7</w:t>
            </w:r>
          </w:p>
        </w:tc>
        <w:tc>
          <w:tcPr>
            <w:tcW w:w="2340" w:type="dxa"/>
            <w:vAlign w:val="center"/>
          </w:tcPr>
          <w:p w14:paraId="53D5E920" w14:textId="77777777" w:rsidR="006E487A" w:rsidRDefault="00BA6D23">
            <w:pPr>
              <w:spacing w:after="40"/>
            </w:pPr>
            <w:r>
              <w:rPr>
                <w:color w:val="1A2B4A"/>
                <w:sz w:val="20"/>
              </w:rPr>
              <w:t>Agent and gates</w:t>
            </w:r>
          </w:p>
        </w:tc>
        <w:tc>
          <w:tcPr>
            <w:tcW w:w="2340" w:type="dxa"/>
            <w:vAlign w:val="center"/>
          </w:tcPr>
          <w:p w14:paraId="505D5ADF" w14:textId="77777777" w:rsidR="006E487A" w:rsidRDefault="00BA6D23">
            <w:pPr>
              <w:spacing w:after="40"/>
            </w:pPr>
            <w:r>
              <w:rPr>
                <w:color w:val="1A2B4A"/>
                <w:sz w:val="20"/>
              </w:rPr>
              <w:t>Six gates implemented; adversarial mutation set passing</w:t>
            </w:r>
          </w:p>
        </w:tc>
        <w:tc>
          <w:tcPr>
            <w:tcW w:w="2340" w:type="dxa"/>
            <w:vAlign w:val="center"/>
          </w:tcPr>
          <w:p w14:paraId="28740C95" w14:textId="77777777" w:rsidR="006E487A" w:rsidRDefault="00BA6D23">
            <w:pPr>
              <w:spacing w:after="40"/>
            </w:pPr>
            <w:r>
              <w:rPr>
                <w:color w:val="1A2B4A"/>
                <w:sz w:val="20"/>
              </w:rPr>
              <w:t>P1</w:t>
            </w:r>
          </w:p>
        </w:tc>
      </w:tr>
      <w:tr w:rsidR="006E487A" w14:paraId="3C7AF054" w14:textId="77777777">
        <w:tc>
          <w:tcPr>
            <w:tcW w:w="2340" w:type="dxa"/>
            <w:vAlign w:val="center"/>
          </w:tcPr>
          <w:p w14:paraId="108A4455" w14:textId="77777777" w:rsidR="006E487A" w:rsidRDefault="00BA6D23">
            <w:pPr>
              <w:spacing w:after="40"/>
            </w:pPr>
            <w:r>
              <w:rPr>
                <w:color w:val="1A2B4A"/>
                <w:sz w:val="20"/>
              </w:rPr>
              <w:t>8</w:t>
            </w:r>
          </w:p>
        </w:tc>
        <w:tc>
          <w:tcPr>
            <w:tcW w:w="2340" w:type="dxa"/>
            <w:vAlign w:val="center"/>
          </w:tcPr>
          <w:p w14:paraId="236C38AA" w14:textId="77777777" w:rsidR="006E487A" w:rsidRDefault="00BA6D23">
            <w:pPr>
              <w:spacing w:after="40"/>
            </w:pPr>
            <w:r>
              <w:rPr>
                <w:color w:val="1A2B4A"/>
                <w:sz w:val="20"/>
              </w:rPr>
              <w:t>Documentation and release</w:t>
            </w:r>
          </w:p>
        </w:tc>
        <w:tc>
          <w:tcPr>
            <w:tcW w:w="2340" w:type="dxa"/>
            <w:vAlign w:val="center"/>
          </w:tcPr>
          <w:p w14:paraId="09C685B0" w14:textId="77777777" w:rsidR="006E487A" w:rsidRDefault="00BA6D23">
            <w:pPr>
              <w:spacing w:after="40"/>
            </w:pPr>
            <w:r>
              <w:rPr>
                <w:color w:val="1A2B4A"/>
                <w:sz w:val="20"/>
              </w:rPr>
              <w:t>Paper draft, open dataset published, forecast registry tagged</w:t>
            </w:r>
          </w:p>
        </w:tc>
        <w:tc>
          <w:tcPr>
            <w:tcW w:w="2340" w:type="dxa"/>
            <w:vAlign w:val="center"/>
          </w:tcPr>
          <w:p w14:paraId="20035FB2" w14:textId="77777777" w:rsidR="006E487A" w:rsidRDefault="00BA6D23">
            <w:pPr>
              <w:spacing w:after="40"/>
            </w:pPr>
            <w:r>
              <w:rPr>
                <w:color w:val="1A2B4A"/>
                <w:sz w:val="20"/>
              </w:rPr>
              <w:t>P3</w:t>
            </w:r>
          </w:p>
        </w:tc>
      </w:tr>
      <w:tr w:rsidR="006E487A" w14:paraId="66B4ACDD" w14:textId="77777777">
        <w:tc>
          <w:tcPr>
            <w:tcW w:w="2340" w:type="dxa"/>
            <w:vAlign w:val="center"/>
          </w:tcPr>
          <w:p w14:paraId="536296FD" w14:textId="77777777" w:rsidR="006E487A" w:rsidRDefault="00BA6D23">
            <w:pPr>
              <w:spacing w:after="40"/>
            </w:pPr>
            <w:r>
              <w:rPr>
                <w:color w:val="1A2B4A"/>
                <w:sz w:val="20"/>
              </w:rPr>
              <w:t>9</w:t>
            </w:r>
          </w:p>
        </w:tc>
        <w:tc>
          <w:tcPr>
            <w:tcW w:w="2340" w:type="dxa"/>
            <w:vAlign w:val="center"/>
          </w:tcPr>
          <w:p w14:paraId="084744E6" w14:textId="77777777" w:rsidR="006E487A" w:rsidRDefault="00BA6D23">
            <w:pPr>
              <w:spacing w:after="40"/>
            </w:pPr>
            <w:r>
              <w:rPr>
                <w:color w:val="1A2B4A"/>
                <w:sz w:val="20"/>
              </w:rPr>
              <w:t>Buffer</w:t>
            </w:r>
          </w:p>
        </w:tc>
        <w:tc>
          <w:tcPr>
            <w:tcW w:w="2340" w:type="dxa"/>
            <w:vAlign w:val="center"/>
          </w:tcPr>
          <w:p w14:paraId="312AEEFE" w14:textId="77777777" w:rsidR="006E487A" w:rsidRDefault="00BA6D23">
            <w:pPr>
              <w:spacing w:after="40"/>
            </w:pPr>
            <w:r>
              <w:rPr>
                <w:color w:val="1A2B4A"/>
                <w:sz w:val="20"/>
              </w:rPr>
              <w:t>Reviewer feedback, recording, archive</w:t>
            </w:r>
          </w:p>
        </w:tc>
        <w:tc>
          <w:tcPr>
            <w:tcW w:w="2340" w:type="dxa"/>
            <w:vAlign w:val="center"/>
          </w:tcPr>
          <w:p w14:paraId="571F4C08" w14:textId="77777777" w:rsidR="006E487A" w:rsidRDefault="00BA6D23">
            <w:pPr>
              <w:spacing w:after="40"/>
            </w:pPr>
            <w:r>
              <w:rPr>
                <w:color w:val="1A2B4A"/>
                <w:sz w:val="20"/>
              </w:rPr>
              <w:t>All</w:t>
            </w:r>
          </w:p>
        </w:tc>
      </w:tr>
    </w:tbl>
    <w:p w14:paraId="3C5891F2" w14:textId="77777777" w:rsidR="006E487A" w:rsidRDefault="006E487A">
      <w:pPr>
        <w:spacing w:after="40"/>
      </w:pPr>
    </w:p>
    <w:p w14:paraId="2CE3CDD4" w14:textId="77777777" w:rsidR="006E487A" w:rsidRDefault="006E487A"/>
    <w:p w14:paraId="3A5BFA7C" w14:textId="77777777" w:rsidR="006E487A" w:rsidRDefault="00BA6D23">
      <w:r>
        <w:t>The mitigations set out in §4.5 add roughly ten person-days across the three contributors — currency features, facility-date verification and the noise simulation, margin-of-error propagation, the H3 robustness check, the widened donor pool and the generated-regressor correction. That work is inside the envelope created by the scope decisions below rather than additional to it.</w:t>
      </w:r>
    </w:p>
    <w:p w14:paraId="75A530EC" w14:textId="77777777" w:rsidR="006E487A" w:rsidRDefault="00BA6D23">
      <w:r>
        <w:t>Scope is bounded deliberately. Two components a reader might expect — a fine-tuned narration model and a multi-model language-model ablation — are out of scope and recorded as such in the project roadmap, because neither contributes to novelty, model confidence or the use case. The dashboard narrator itself is retained, but served as a cached, rate-capped call to the hosted inference API rather than as a fine-tune; it carries its own budget line and its own spend ceiling (§8).</w:t>
      </w:r>
    </w:p>
    <w:p w14:paraId="5D52D1AE" w14:textId="77777777" w:rsidR="006E487A" w:rsidRDefault="006E487A"/>
    <w:p w14:paraId="4D42FB78" w14:textId="77777777" w:rsidR="006E487A" w:rsidRDefault="00BA6D23">
      <w:pPr>
        <w:pStyle w:val="Heading1"/>
      </w:pPr>
      <w:bookmarkStart w:id="42" w:name="_Toc239881148"/>
      <w:r>
        <w:t>8.  Budget</w:t>
      </w:r>
      <w:bookmarkEnd w:id="42"/>
    </w:p>
    <w:tbl>
      <w:tblPr>
        <w:tblW w:w="0" w:type="auto"/>
        <w:tblBorders>
          <w:top w:val="single" w:sz="4" w:space="0" w:color="4B5563"/>
          <w:left w:val="single" w:sz="4" w:space="0" w:color="4B5563"/>
          <w:bottom w:val="single" w:sz="4" w:space="0" w:color="4B5563"/>
          <w:right w:val="single" w:sz="4" w:space="0" w:color="4B5563"/>
          <w:insideH w:val="single" w:sz="4" w:space="0" w:color="4B5563"/>
          <w:insideV w:val="single" w:sz="4" w:space="0" w:color="4B5563"/>
        </w:tblBorders>
        <w:tblLook w:val="04A0" w:firstRow="1" w:lastRow="0" w:firstColumn="1" w:lastColumn="0" w:noHBand="0" w:noVBand="1"/>
      </w:tblPr>
      <w:tblGrid>
        <w:gridCol w:w="2340"/>
        <w:gridCol w:w="2340"/>
        <w:gridCol w:w="2340"/>
        <w:gridCol w:w="2340"/>
      </w:tblGrid>
      <w:tr w:rsidR="006E487A" w14:paraId="205FEF51" w14:textId="77777777">
        <w:trPr>
          <w:tblHeader/>
        </w:trPr>
        <w:tc>
          <w:tcPr>
            <w:tcW w:w="2340" w:type="dxa"/>
            <w:shd w:val="clear" w:color="auto" w:fill="1A2B4A"/>
            <w:vAlign w:val="center"/>
          </w:tcPr>
          <w:p w14:paraId="1DB5FCB8" w14:textId="77777777" w:rsidR="006E487A" w:rsidRDefault="00BA6D23">
            <w:pPr>
              <w:spacing w:after="40"/>
            </w:pPr>
            <w:r>
              <w:rPr>
                <w:b/>
                <w:color w:val="FFFFFF"/>
                <w:sz w:val="20"/>
              </w:rPr>
              <w:t>Line item</w:t>
            </w:r>
          </w:p>
        </w:tc>
        <w:tc>
          <w:tcPr>
            <w:tcW w:w="2340" w:type="dxa"/>
            <w:shd w:val="clear" w:color="auto" w:fill="1A2B4A"/>
            <w:vAlign w:val="center"/>
          </w:tcPr>
          <w:p w14:paraId="69ACD550" w14:textId="77777777" w:rsidR="006E487A" w:rsidRDefault="00BA6D23">
            <w:pPr>
              <w:spacing w:after="40"/>
            </w:pPr>
            <w:r>
              <w:rPr>
                <w:b/>
                <w:color w:val="FFFFFF"/>
                <w:sz w:val="20"/>
              </w:rPr>
              <w:t>Provider</w:t>
            </w:r>
          </w:p>
        </w:tc>
        <w:tc>
          <w:tcPr>
            <w:tcW w:w="2340" w:type="dxa"/>
            <w:shd w:val="clear" w:color="auto" w:fill="1A2B4A"/>
            <w:vAlign w:val="center"/>
          </w:tcPr>
          <w:p w14:paraId="2680604A" w14:textId="77777777" w:rsidR="006E487A" w:rsidRDefault="00BA6D23">
            <w:pPr>
              <w:spacing w:after="40"/>
            </w:pPr>
            <w:r>
              <w:rPr>
                <w:b/>
                <w:color w:val="FFFFFF"/>
                <w:sz w:val="20"/>
              </w:rPr>
              <w:t>Est. (USD)</w:t>
            </w:r>
          </w:p>
        </w:tc>
        <w:tc>
          <w:tcPr>
            <w:tcW w:w="2340" w:type="dxa"/>
            <w:shd w:val="clear" w:color="auto" w:fill="1A2B4A"/>
            <w:vAlign w:val="center"/>
          </w:tcPr>
          <w:p w14:paraId="25FAC4E3" w14:textId="77777777" w:rsidR="006E487A" w:rsidRDefault="00BA6D23">
            <w:pPr>
              <w:spacing w:after="40"/>
            </w:pPr>
            <w:r>
              <w:rPr>
                <w:b/>
                <w:color w:val="FFFFFF"/>
                <w:sz w:val="20"/>
              </w:rPr>
              <w:t>Guardrail</w:t>
            </w:r>
          </w:p>
        </w:tc>
      </w:tr>
      <w:tr w:rsidR="006E487A" w14:paraId="103621E9" w14:textId="77777777">
        <w:tc>
          <w:tcPr>
            <w:tcW w:w="2340" w:type="dxa"/>
            <w:vAlign w:val="center"/>
          </w:tcPr>
          <w:p w14:paraId="1B6CA868" w14:textId="77777777" w:rsidR="006E487A" w:rsidRDefault="00BA6D23">
            <w:pPr>
              <w:spacing w:after="40"/>
            </w:pPr>
            <w:r>
              <w:rPr>
                <w:color w:val="1A2B4A"/>
                <w:sz w:val="20"/>
              </w:rPr>
              <w:t>Agent and extraction inference</w:t>
            </w:r>
          </w:p>
        </w:tc>
        <w:tc>
          <w:tcPr>
            <w:tcW w:w="2340" w:type="dxa"/>
            <w:vAlign w:val="center"/>
          </w:tcPr>
          <w:p w14:paraId="3285572D" w14:textId="77777777" w:rsidR="006E487A" w:rsidRDefault="00BA6D23">
            <w:pPr>
              <w:spacing w:after="40"/>
            </w:pPr>
            <w:r>
              <w:rPr>
                <w:color w:val="1A2B4A"/>
                <w:sz w:val="20"/>
              </w:rPr>
              <w:t>Hosted API</w:t>
            </w:r>
          </w:p>
        </w:tc>
        <w:tc>
          <w:tcPr>
            <w:tcW w:w="2340" w:type="dxa"/>
            <w:vAlign w:val="center"/>
          </w:tcPr>
          <w:p w14:paraId="406E386F" w14:textId="77777777" w:rsidR="006E487A" w:rsidRDefault="00BA6D23">
            <w:pPr>
              <w:spacing w:after="40"/>
            </w:pPr>
            <w:r>
              <w:rPr>
                <w:color w:val="1A2B4A"/>
                <w:sz w:val="20"/>
              </w:rPr>
              <w:t>$40</w:t>
            </w:r>
          </w:p>
        </w:tc>
        <w:tc>
          <w:tcPr>
            <w:tcW w:w="2340" w:type="dxa"/>
            <w:vAlign w:val="center"/>
          </w:tcPr>
          <w:p w14:paraId="5F77C10E" w14:textId="77777777" w:rsidR="006E487A" w:rsidRDefault="00BA6D23">
            <w:pPr>
              <w:spacing w:after="40"/>
            </w:pPr>
            <w:r>
              <w:rPr>
                <w:color w:val="1A2B4A"/>
                <w:sz w:val="20"/>
              </w:rPr>
              <w:t>Response caching; hard stop in config</w:t>
            </w:r>
          </w:p>
        </w:tc>
      </w:tr>
      <w:tr w:rsidR="006E487A" w14:paraId="103621E9" w14:textId="77777777">
        <w:tc>
          <w:tcPr>
            <w:tcW w:w="2340" w:type="dxa"/>
            <w:vAlign w:val="center"/>
          </w:tcPr>
          <w:p w14:paraId="1B6CA868" w14:textId="77777777" w:rsidR="006E487A" w:rsidRDefault="00BA6D23">
            <w:pPr>
              <w:spacing w:after="40"/>
            </w:pPr>
            <w:r>
              <w:rPr>
                <w:color w:val="1A2B4A"/>
                <w:sz w:val="20"/>
              </w:rPr>
              <w:t>Dashboard narrator inference</w:t>
            </w:r>
          </w:p>
        </w:tc>
        <w:tc>
          <w:tcPr>
            <w:tcW w:w="2340" w:type="dxa"/>
            <w:vAlign w:val="center"/>
          </w:tcPr>
          <w:p w14:paraId="3285572D" w14:textId="77777777" w:rsidR="006E487A" w:rsidRDefault="00BA6D23">
            <w:pPr>
              <w:spacing w:after="40"/>
            </w:pPr>
            <w:r>
              <w:rPr>
                <w:color w:val="1A2B4A"/>
                <w:sz w:val="20"/>
              </w:rPr>
              <w:t>Hosted API</w:t>
            </w:r>
          </w:p>
        </w:tc>
        <w:tc>
          <w:tcPr>
            <w:tcW w:w="2340" w:type="dxa"/>
            <w:vAlign w:val="center"/>
          </w:tcPr>
          <w:p w14:paraId="406E386F" w14:textId="77777777" w:rsidR="006E487A" w:rsidRDefault="00BA6D23">
            <w:pPr>
              <w:spacing w:after="40"/>
            </w:pPr>
            <w:r>
              <w:rPr>
                <w:color w:val="1A2B4A"/>
                <w:sz w:val="20"/>
              </w:rPr>
              <w:t>$15</w:t>
            </w:r>
          </w:p>
        </w:tc>
        <w:tc>
          <w:tcPr>
            <w:tcW w:w="2340" w:type="dxa"/>
            <w:vAlign w:val="center"/>
          </w:tcPr>
          <w:p w14:paraId="5F77C10E" w14:textId="77777777" w:rsidR="006E487A" w:rsidRDefault="00BA6D23">
            <w:pPr>
              <w:spacing w:after="40"/>
            </w:pPr>
            <w:r>
              <w:rPr>
                <w:color w:val="1A2B4A"/>
                <w:sz w:val="20"/>
              </w:rPr>
              <w:t>Cached per ZCTA; 20 calls per session; feature disables itself at $15</w:t>
            </w:r>
          </w:p>
        </w:tc>
      </w:tr>
      <w:tr w:rsidR="006E487A" w14:paraId="730F78F5" w14:textId="77777777">
        <w:tc>
          <w:tcPr>
            <w:tcW w:w="2340" w:type="dxa"/>
            <w:vAlign w:val="center"/>
          </w:tcPr>
          <w:p w14:paraId="07BFA9BC" w14:textId="77777777" w:rsidR="006E487A" w:rsidRDefault="00BA6D23">
            <w:pPr>
              <w:spacing w:after="40"/>
            </w:pPr>
            <w:r>
              <w:rPr>
                <w:color w:val="1A2B4A"/>
                <w:sz w:val="20"/>
              </w:rPr>
              <w:t>Contingency reserve</w:t>
            </w:r>
          </w:p>
        </w:tc>
        <w:tc>
          <w:tcPr>
            <w:tcW w:w="2340" w:type="dxa"/>
            <w:vAlign w:val="center"/>
          </w:tcPr>
          <w:p w14:paraId="5EDF4CB7" w14:textId="77777777" w:rsidR="006E487A" w:rsidRDefault="00BA6D23">
            <w:pPr>
              <w:spacing w:after="40"/>
            </w:pPr>
            <w:r>
              <w:rPr>
                <w:color w:val="1A2B4A"/>
                <w:sz w:val="20"/>
              </w:rPr>
              <w:t>—</w:t>
            </w:r>
          </w:p>
        </w:tc>
        <w:tc>
          <w:tcPr>
            <w:tcW w:w="2340" w:type="dxa"/>
            <w:vAlign w:val="center"/>
          </w:tcPr>
          <w:p w14:paraId="378EE3E5" w14:textId="77777777" w:rsidR="006E487A" w:rsidRDefault="00BA6D23">
            <w:pPr>
              <w:spacing w:after="40"/>
            </w:pPr>
            <w:r>
              <w:rPr>
                <w:color w:val="1A2B4A"/>
                <w:sz w:val="20"/>
              </w:rPr>
              <w:t>$25</w:t>
            </w:r>
          </w:p>
        </w:tc>
        <w:tc>
          <w:tcPr>
            <w:tcW w:w="2340" w:type="dxa"/>
            <w:vAlign w:val="center"/>
          </w:tcPr>
          <w:p w14:paraId="7FC992BE" w14:textId="77777777" w:rsidR="006E487A" w:rsidRDefault="00BA6D23">
            <w:pPr>
              <w:spacing w:after="40"/>
            </w:pPr>
            <w:r>
              <w:rPr>
                <w:color w:val="1A2B4A"/>
                <w:sz w:val="20"/>
              </w:rPr>
              <w:t>Reallocatable</w:t>
            </w:r>
          </w:p>
        </w:tc>
      </w:tr>
      <w:tr w:rsidR="006E487A" w14:paraId="04573A76" w14:textId="77777777">
        <w:tc>
          <w:tcPr>
            <w:tcW w:w="2340" w:type="dxa"/>
            <w:vAlign w:val="center"/>
          </w:tcPr>
          <w:p w14:paraId="33A04B9C" w14:textId="77777777" w:rsidR="006E487A" w:rsidRDefault="00BA6D23">
            <w:pPr>
              <w:spacing w:after="40"/>
            </w:pPr>
            <w:r>
              <w:rPr>
                <w:color w:val="1A2B4A"/>
                <w:sz w:val="20"/>
              </w:rPr>
              <w:t>Cloud storage</w:t>
            </w:r>
          </w:p>
        </w:tc>
        <w:tc>
          <w:tcPr>
            <w:tcW w:w="2340" w:type="dxa"/>
            <w:vAlign w:val="center"/>
          </w:tcPr>
          <w:p w14:paraId="27817C36" w14:textId="77777777" w:rsidR="006E487A" w:rsidRDefault="00BA6D23">
            <w:pPr>
              <w:spacing w:after="40"/>
            </w:pPr>
            <w:r>
              <w:rPr>
                <w:color w:val="1A2B4A"/>
                <w:sz w:val="20"/>
              </w:rPr>
              <w:t>Free tier</w:t>
            </w:r>
          </w:p>
        </w:tc>
        <w:tc>
          <w:tcPr>
            <w:tcW w:w="2340" w:type="dxa"/>
            <w:vAlign w:val="center"/>
          </w:tcPr>
          <w:p w14:paraId="2D86E39B" w14:textId="77777777" w:rsidR="006E487A" w:rsidRDefault="00BA6D23">
            <w:pPr>
              <w:spacing w:after="40"/>
            </w:pPr>
            <w:r>
              <w:rPr>
                <w:color w:val="1A2B4A"/>
                <w:sz w:val="20"/>
              </w:rPr>
              <w:t>$0</w:t>
            </w:r>
          </w:p>
        </w:tc>
        <w:tc>
          <w:tcPr>
            <w:tcW w:w="2340" w:type="dxa"/>
            <w:vAlign w:val="center"/>
          </w:tcPr>
          <w:p w14:paraId="2AD68FCB" w14:textId="77777777" w:rsidR="006E487A" w:rsidRDefault="00BA6D23">
            <w:pPr>
              <w:spacing w:after="40"/>
            </w:pPr>
            <w:r>
              <w:rPr>
                <w:color w:val="1A2B4A"/>
                <w:sz w:val="20"/>
              </w:rPr>
              <w:t>Within free credit</w:t>
            </w:r>
          </w:p>
        </w:tc>
      </w:tr>
      <w:tr w:rsidR="006E487A" w14:paraId="0D9A0889" w14:textId="77777777">
        <w:tc>
          <w:tcPr>
            <w:tcW w:w="2340" w:type="dxa"/>
            <w:vAlign w:val="center"/>
          </w:tcPr>
          <w:p w14:paraId="216A80EF" w14:textId="77777777" w:rsidR="006E487A" w:rsidRDefault="00BA6D23">
            <w:pPr>
              <w:spacing w:after="40"/>
            </w:pPr>
            <w:r>
              <w:rPr>
                <w:color w:val="1A2B4A"/>
                <w:sz w:val="20"/>
              </w:rPr>
              <w:t>Application hosting</w:t>
            </w:r>
          </w:p>
        </w:tc>
        <w:tc>
          <w:tcPr>
            <w:tcW w:w="2340" w:type="dxa"/>
            <w:vAlign w:val="center"/>
          </w:tcPr>
          <w:p w14:paraId="0DE10FEB" w14:textId="77777777" w:rsidR="006E487A" w:rsidRDefault="00BA6D23">
            <w:pPr>
              <w:spacing w:after="40"/>
            </w:pPr>
            <w:r>
              <w:rPr>
                <w:color w:val="1A2B4A"/>
                <w:sz w:val="20"/>
              </w:rPr>
              <w:t>Free tier</w:t>
            </w:r>
          </w:p>
        </w:tc>
        <w:tc>
          <w:tcPr>
            <w:tcW w:w="2340" w:type="dxa"/>
            <w:vAlign w:val="center"/>
          </w:tcPr>
          <w:p w14:paraId="0E2C5B9A" w14:textId="77777777" w:rsidR="006E487A" w:rsidRDefault="00BA6D23">
            <w:pPr>
              <w:spacing w:after="40"/>
            </w:pPr>
            <w:r>
              <w:rPr>
                <w:color w:val="1A2B4A"/>
                <w:sz w:val="20"/>
              </w:rPr>
              <w:t>$0</w:t>
            </w:r>
          </w:p>
        </w:tc>
        <w:tc>
          <w:tcPr>
            <w:tcW w:w="2340" w:type="dxa"/>
            <w:vAlign w:val="center"/>
          </w:tcPr>
          <w:p w14:paraId="56C2E362" w14:textId="77777777" w:rsidR="006E487A" w:rsidRDefault="00BA6D23">
            <w:pPr>
              <w:spacing w:after="40"/>
            </w:pPr>
            <w:r>
              <w:rPr>
                <w:color w:val="1A2B4A"/>
                <w:sz w:val="20"/>
              </w:rPr>
              <w:t>Free tier</w:t>
            </w:r>
          </w:p>
        </w:tc>
      </w:tr>
      <w:tr w:rsidR="006E487A" w14:paraId="16339397" w14:textId="77777777">
        <w:tc>
          <w:tcPr>
            <w:tcW w:w="2340" w:type="dxa"/>
            <w:vAlign w:val="center"/>
          </w:tcPr>
          <w:p w14:paraId="694632C1" w14:textId="77777777" w:rsidR="006E487A" w:rsidRDefault="00BA6D23">
            <w:pPr>
              <w:spacing w:after="40"/>
            </w:pPr>
            <w:r>
              <w:rPr>
                <w:color w:val="1A2B4A"/>
                <w:sz w:val="20"/>
              </w:rPr>
              <w:t>Warehouse (DuckDB)</w:t>
            </w:r>
          </w:p>
        </w:tc>
        <w:tc>
          <w:tcPr>
            <w:tcW w:w="2340" w:type="dxa"/>
            <w:vAlign w:val="center"/>
          </w:tcPr>
          <w:p w14:paraId="4515FECA" w14:textId="77777777" w:rsidR="006E487A" w:rsidRDefault="00BA6D23">
            <w:pPr>
              <w:spacing w:after="40"/>
            </w:pPr>
            <w:r>
              <w:rPr>
                <w:color w:val="1A2B4A"/>
                <w:sz w:val="20"/>
              </w:rPr>
              <w:t>Local file</w:t>
            </w:r>
          </w:p>
        </w:tc>
        <w:tc>
          <w:tcPr>
            <w:tcW w:w="2340" w:type="dxa"/>
            <w:vAlign w:val="center"/>
          </w:tcPr>
          <w:p w14:paraId="77DC5BB4" w14:textId="77777777" w:rsidR="006E487A" w:rsidRDefault="00BA6D23">
            <w:pPr>
              <w:spacing w:after="40"/>
            </w:pPr>
            <w:r>
              <w:rPr>
                <w:color w:val="1A2B4A"/>
                <w:sz w:val="20"/>
              </w:rPr>
              <w:t>$0</w:t>
            </w:r>
          </w:p>
        </w:tc>
        <w:tc>
          <w:tcPr>
            <w:tcW w:w="2340" w:type="dxa"/>
            <w:vAlign w:val="center"/>
          </w:tcPr>
          <w:p w14:paraId="5BB6FDCD" w14:textId="77777777" w:rsidR="006E487A" w:rsidRDefault="00BA6D23">
            <w:pPr>
              <w:spacing w:after="40"/>
            </w:pPr>
            <w:r>
              <w:rPr>
                <w:color w:val="1A2B4A"/>
                <w:sz w:val="20"/>
              </w:rPr>
              <w:t>Open source</w:t>
            </w:r>
          </w:p>
        </w:tc>
      </w:tr>
      <w:tr w:rsidR="006E487A" w14:paraId="7B608BC0" w14:textId="77777777">
        <w:tc>
          <w:tcPr>
            <w:tcW w:w="2340" w:type="dxa"/>
            <w:vAlign w:val="center"/>
          </w:tcPr>
          <w:p w14:paraId="53B1D3D5" w14:textId="77777777" w:rsidR="006E487A" w:rsidRDefault="00BA6D23">
            <w:pPr>
              <w:spacing w:after="40"/>
            </w:pPr>
            <w:r>
              <w:rPr>
                <w:color w:val="1A2B4A"/>
                <w:sz w:val="20"/>
              </w:rPr>
              <w:t>Transformations (dbt Core)</w:t>
            </w:r>
          </w:p>
        </w:tc>
        <w:tc>
          <w:tcPr>
            <w:tcW w:w="2340" w:type="dxa"/>
            <w:vAlign w:val="center"/>
          </w:tcPr>
          <w:p w14:paraId="68187342" w14:textId="77777777" w:rsidR="006E487A" w:rsidRDefault="00BA6D23">
            <w:pPr>
              <w:spacing w:after="40"/>
            </w:pPr>
            <w:r>
              <w:rPr>
                <w:color w:val="1A2B4A"/>
                <w:sz w:val="20"/>
              </w:rPr>
              <w:t>Local</w:t>
            </w:r>
          </w:p>
        </w:tc>
        <w:tc>
          <w:tcPr>
            <w:tcW w:w="2340" w:type="dxa"/>
            <w:vAlign w:val="center"/>
          </w:tcPr>
          <w:p w14:paraId="0D0AA5DD" w14:textId="77777777" w:rsidR="006E487A" w:rsidRDefault="00BA6D23">
            <w:pPr>
              <w:spacing w:after="40"/>
            </w:pPr>
            <w:r>
              <w:rPr>
                <w:color w:val="1A2B4A"/>
                <w:sz w:val="20"/>
              </w:rPr>
              <w:t>$0</w:t>
            </w:r>
          </w:p>
        </w:tc>
        <w:tc>
          <w:tcPr>
            <w:tcW w:w="2340" w:type="dxa"/>
            <w:vAlign w:val="center"/>
          </w:tcPr>
          <w:p w14:paraId="6C89BE90" w14:textId="77777777" w:rsidR="006E487A" w:rsidRDefault="00BA6D23">
            <w:pPr>
              <w:spacing w:after="40"/>
            </w:pPr>
            <w:r>
              <w:rPr>
                <w:color w:val="1A2B4A"/>
                <w:sz w:val="20"/>
              </w:rPr>
              <w:t>Open source</w:t>
            </w:r>
          </w:p>
        </w:tc>
      </w:tr>
      <w:tr w:rsidR="006E487A" w14:paraId="6AD87394" w14:textId="77777777">
        <w:tc>
          <w:tcPr>
            <w:tcW w:w="2340" w:type="dxa"/>
            <w:vAlign w:val="center"/>
          </w:tcPr>
          <w:p w14:paraId="41DE4541" w14:textId="77777777" w:rsidR="006E487A" w:rsidRDefault="00BA6D23">
            <w:pPr>
              <w:spacing w:after="40"/>
            </w:pPr>
            <w:r>
              <w:rPr>
                <w:color w:val="1A2B4A"/>
                <w:sz w:val="20"/>
              </w:rPr>
              <w:t>Routing preprocessing</w:t>
            </w:r>
          </w:p>
        </w:tc>
        <w:tc>
          <w:tcPr>
            <w:tcW w:w="2340" w:type="dxa"/>
            <w:vAlign w:val="center"/>
          </w:tcPr>
          <w:p w14:paraId="071395E0" w14:textId="77777777" w:rsidR="006E487A" w:rsidRDefault="00BA6D23">
            <w:pPr>
              <w:spacing w:after="40"/>
            </w:pPr>
            <w:r>
              <w:rPr>
                <w:color w:val="1A2B4A"/>
                <w:sz w:val="20"/>
              </w:rPr>
              <w:t>Free notebook tier</w:t>
            </w:r>
          </w:p>
        </w:tc>
        <w:tc>
          <w:tcPr>
            <w:tcW w:w="2340" w:type="dxa"/>
            <w:vAlign w:val="center"/>
          </w:tcPr>
          <w:p w14:paraId="15695BE3" w14:textId="77777777" w:rsidR="006E487A" w:rsidRDefault="00BA6D23">
            <w:pPr>
              <w:spacing w:after="40"/>
            </w:pPr>
            <w:r>
              <w:rPr>
                <w:color w:val="1A2B4A"/>
                <w:sz w:val="20"/>
              </w:rPr>
              <w:t>$0</w:t>
            </w:r>
          </w:p>
        </w:tc>
        <w:tc>
          <w:tcPr>
            <w:tcW w:w="2340" w:type="dxa"/>
            <w:vAlign w:val="center"/>
          </w:tcPr>
          <w:p w14:paraId="05F6DF12" w14:textId="77777777" w:rsidR="006E487A" w:rsidRDefault="00BA6D23">
            <w:pPr>
              <w:spacing w:after="40"/>
            </w:pPr>
            <w:r>
              <w:rPr>
                <w:color w:val="1A2B4A"/>
                <w:sz w:val="20"/>
              </w:rPr>
              <w:t>Offline, once (§5.9)</w:t>
            </w:r>
          </w:p>
        </w:tc>
      </w:tr>
      <w:tr w:rsidR="006E487A" w14:paraId="7D2B47B7" w14:textId="77777777">
        <w:tc>
          <w:tcPr>
            <w:tcW w:w="2340" w:type="dxa"/>
            <w:vAlign w:val="center"/>
          </w:tcPr>
          <w:p w14:paraId="0CD6DDE5" w14:textId="77777777" w:rsidR="006E487A" w:rsidRDefault="00BA6D23">
            <w:pPr>
              <w:spacing w:after="40"/>
            </w:pPr>
            <w:r>
              <w:rPr>
                <w:color w:val="1A2B4A"/>
                <w:sz w:val="20"/>
              </w:rPr>
              <w:t>CI / CD</w:t>
            </w:r>
          </w:p>
        </w:tc>
        <w:tc>
          <w:tcPr>
            <w:tcW w:w="2340" w:type="dxa"/>
            <w:vAlign w:val="center"/>
          </w:tcPr>
          <w:p w14:paraId="2A0B47AD" w14:textId="77777777" w:rsidR="006E487A" w:rsidRDefault="00BA6D23">
            <w:pPr>
              <w:spacing w:after="40"/>
            </w:pPr>
            <w:r>
              <w:rPr>
                <w:color w:val="1A2B4A"/>
                <w:sz w:val="20"/>
              </w:rPr>
              <w:t>Free tier</w:t>
            </w:r>
          </w:p>
        </w:tc>
        <w:tc>
          <w:tcPr>
            <w:tcW w:w="2340" w:type="dxa"/>
            <w:vAlign w:val="center"/>
          </w:tcPr>
          <w:p w14:paraId="0DC97524" w14:textId="77777777" w:rsidR="006E487A" w:rsidRDefault="00BA6D23">
            <w:pPr>
              <w:spacing w:after="40"/>
            </w:pPr>
            <w:r>
              <w:rPr>
                <w:color w:val="1A2B4A"/>
                <w:sz w:val="20"/>
              </w:rPr>
              <w:t>$0</w:t>
            </w:r>
          </w:p>
        </w:tc>
        <w:tc>
          <w:tcPr>
            <w:tcW w:w="2340" w:type="dxa"/>
            <w:vAlign w:val="center"/>
          </w:tcPr>
          <w:p w14:paraId="049FAFE3" w14:textId="77777777" w:rsidR="006E487A" w:rsidRDefault="00BA6D23">
            <w:pPr>
              <w:spacing w:after="40"/>
            </w:pPr>
            <w:r>
              <w:rPr>
                <w:color w:val="1A2B4A"/>
                <w:sz w:val="20"/>
              </w:rPr>
              <w:t>2,000 min/month</w:t>
            </w:r>
          </w:p>
        </w:tc>
      </w:tr>
      <w:tr w:rsidR="006E487A" w14:paraId="061FA17F" w14:textId="77777777">
        <w:tc>
          <w:tcPr>
            <w:tcW w:w="2340" w:type="dxa"/>
            <w:vAlign w:val="center"/>
          </w:tcPr>
          <w:p w14:paraId="006B36CA" w14:textId="77777777" w:rsidR="006E487A" w:rsidRDefault="00BA6D23">
            <w:pPr>
              <w:spacing w:after="40"/>
            </w:pPr>
            <w:r>
              <w:rPr>
                <w:color w:val="1A2B4A"/>
                <w:sz w:val="20"/>
              </w:rPr>
              <w:t>All data acquisition</w:t>
            </w:r>
          </w:p>
        </w:tc>
        <w:tc>
          <w:tcPr>
            <w:tcW w:w="2340" w:type="dxa"/>
            <w:vAlign w:val="center"/>
          </w:tcPr>
          <w:p w14:paraId="2C2187E0" w14:textId="77777777" w:rsidR="006E487A" w:rsidRDefault="00BA6D23">
            <w:pPr>
              <w:spacing w:after="40"/>
            </w:pPr>
            <w:r>
              <w:rPr>
                <w:color w:val="1A2B4A"/>
                <w:sz w:val="20"/>
              </w:rPr>
              <w:t>Public sources</w:t>
            </w:r>
          </w:p>
        </w:tc>
        <w:tc>
          <w:tcPr>
            <w:tcW w:w="2340" w:type="dxa"/>
            <w:vAlign w:val="center"/>
          </w:tcPr>
          <w:p w14:paraId="1D666176" w14:textId="77777777" w:rsidR="006E487A" w:rsidRDefault="00BA6D23">
            <w:pPr>
              <w:spacing w:after="40"/>
            </w:pPr>
            <w:r>
              <w:rPr>
                <w:color w:val="1A2B4A"/>
                <w:sz w:val="20"/>
              </w:rPr>
              <w:t>$0</w:t>
            </w:r>
          </w:p>
        </w:tc>
        <w:tc>
          <w:tcPr>
            <w:tcW w:w="2340" w:type="dxa"/>
            <w:vAlign w:val="center"/>
          </w:tcPr>
          <w:p w14:paraId="7BB5BCF9" w14:textId="77777777" w:rsidR="006E487A" w:rsidRDefault="00BA6D23">
            <w:pPr>
              <w:spacing w:after="40"/>
            </w:pPr>
            <w:r>
              <w:rPr>
                <w:color w:val="1A2B4A"/>
                <w:sz w:val="20"/>
              </w:rPr>
              <w:t>No paid API, no key</w:t>
            </w:r>
          </w:p>
        </w:tc>
      </w:tr>
      <w:tr w:rsidR="006E487A" w14:paraId="64A1408E" w14:textId="77777777">
        <w:tc>
          <w:tcPr>
            <w:tcW w:w="2340" w:type="dxa"/>
            <w:vAlign w:val="center"/>
          </w:tcPr>
          <w:p w14:paraId="068338C4" w14:textId="77777777" w:rsidR="006E487A" w:rsidRDefault="00BA6D23">
            <w:pPr>
              <w:spacing w:after="40"/>
            </w:pPr>
            <w:r>
              <w:rPr>
                <w:color w:val="1A2B4A"/>
                <w:sz w:val="20"/>
              </w:rPr>
              <w:t>Total estimated</w:t>
            </w:r>
          </w:p>
        </w:tc>
        <w:tc>
          <w:tcPr>
            <w:tcW w:w="2340" w:type="dxa"/>
            <w:vAlign w:val="center"/>
          </w:tcPr>
          <w:p w14:paraId="73257072" w14:textId="77777777" w:rsidR="006E487A" w:rsidRDefault="006E487A">
            <w:pPr>
              <w:spacing w:after="40"/>
            </w:pPr>
          </w:p>
        </w:tc>
        <w:tc>
          <w:tcPr>
            <w:tcW w:w="2340" w:type="dxa"/>
            <w:vAlign w:val="center"/>
          </w:tcPr>
          <w:p w14:paraId="7E57BCEC" w14:textId="77777777" w:rsidR="006E487A" w:rsidRDefault="00BA6D23">
            <w:pPr>
              <w:spacing w:after="40"/>
            </w:pPr>
            <w:r>
              <w:rPr>
                <w:color w:val="1A2B4A"/>
                <w:sz w:val="20"/>
              </w:rPr>
              <w:t>$80</w:t>
            </w:r>
          </w:p>
        </w:tc>
        <w:tc>
          <w:tcPr>
            <w:tcW w:w="2340" w:type="dxa"/>
            <w:vAlign w:val="center"/>
          </w:tcPr>
          <w:p w14:paraId="06F79F27" w14:textId="77777777" w:rsidR="006E487A" w:rsidRDefault="00BA6D23">
            <w:pPr>
              <w:spacing w:after="40"/>
            </w:pPr>
            <w:r>
              <w:rPr>
                <w:color w:val="1A2B4A"/>
                <w:sz w:val="20"/>
              </w:rPr>
              <w:t>Under the $100 cap</w:t>
            </w:r>
          </w:p>
        </w:tc>
      </w:tr>
      <w:tr w:rsidR="006E487A" w14:paraId="2A7FCD6D" w14:textId="77777777">
        <w:tc>
          <w:tcPr>
            <w:tcW w:w="2340" w:type="dxa"/>
            <w:vAlign w:val="center"/>
          </w:tcPr>
          <w:p w14:paraId="193679EE" w14:textId="77777777" w:rsidR="006E487A" w:rsidRDefault="00BA6D23">
            <w:pPr>
              <w:spacing w:after="40"/>
            </w:pPr>
            <w:r>
              <w:rPr>
                <w:color w:val="1A2B4A"/>
                <w:sz w:val="20"/>
              </w:rPr>
              <w:t>Hard cap</w:t>
            </w:r>
          </w:p>
        </w:tc>
        <w:tc>
          <w:tcPr>
            <w:tcW w:w="2340" w:type="dxa"/>
            <w:vAlign w:val="center"/>
          </w:tcPr>
          <w:p w14:paraId="59F059FB" w14:textId="77777777" w:rsidR="006E487A" w:rsidRDefault="006E487A">
            <w:pPr>
              <w:spacing w:after="40"/>
            </w:pPr>
          </w:p>
        </w:tc>
        <w:tc>
          <w:tcPr>
            <w:tcW w:w="2340" w:type="dxa"/>
            <w:vAlign w:val="center"/>
          </w:tcPr>
          <w:p w14:paraId="74B8C6B3" w14:textId="77777777" w:rsidR="006E487A" w:rsidRDefault="00BA6D23">
            <w:pPr>
              <w:spacing w:after="40"/>
            </w:pPr>
            <w:r>
              <w:rPr>
                <w:color w:val="1A2B4A"/>
                <w:sz w:val="20"/>
              </w:rPr>
              <w:t>$100</w:t>
            </w:r>
          </w:p>
        </w:tc>
        <w:tc>
          <w:tcPr>
            <w:tcW w:w="2340" w:type="dxa"/>
            <w:vAlign w:val="center"/>
          </w:tcPr>
          <w:p w14:paraId="6FABBD08" w14:textId="77777777" w:rsidR="006E487A" w:rsidRDefault="00BA6D23">
            <w:pPr>
              <w:spacing w:after="40"/>
            </w:pPr>
            <w:r>
              <w:rPr>
                <w:color w:val="1A2B4A"/>
                <w:sz w:val="20"/>
              </w:rPr>
              <w:t>Course rubric</w:t>
            </w:r>
          </w:p>
        </w:tc>
      </w:tr>
    </w:tbl>
    <w:p w14:paraId="03F88945" w14:textId="77777777" w:rsidR="006E487A" w:rsidRDefault="006E487A">
      <w:pPr>
        <w:spacing w:after="40"/>
      </w:pPr>
    </w:p>
    <w:p w14:paraId="70B6D828" w14:textId="77777777" w:rsidR="006E487A" w:rsidRDefault="006E487A"/>
    <w:p w14:paraId="318F6A4C" w14:textId="77777777" w:rsidR="006E487A" w:rsidRDefault="00BA6D23">
      <w:r>
        <w:t>Compute cost is zero. The entire budget is language-model inference, and it is bounded in configuration: cumulative spend is logged per call with token counts, exposed in the application, and a guard raises a controlled exception at $80, forcing an explicit human decision to draw on the contingency. The narrator is capped independently of the agent so that public traffic cannot exhaust the analytical budget: summaries are cached per ZCTA and regenerated only when the underlying row changes, a session is limited to twenty narrator calls, and the feature disables itself and falls back to a templated summary once its own $15 line is spent.</w:t>
      </w:r>
    </w:p>
    <w:p w14:paraId="65EDB182" w14:textId="77777777" w:rsidR="006E487A" w:rsidRDefault="00BA6D23">
      <w:r>
        <w:t>Keeping a fine-tuned narration model and the multi-model ablation out of scope is what holds spend inside the cap without removing any component that answers a reviewer question. The narrator is retained because it is part of how a non-technical user reads the output; it is the fine-tune, not the feature, that was cut.</w:t>
      </w:r>
    </w:p>
    <w:p w14:paraId="6ABFC880" w14:textId="77777777" w:rsidR="006E487A" w:rsidRDefault="00BA6D23">
      <w:pPr>
        <w:pStyle w:val="Heading1"/>
      </w:pPr>
      <w:bookmarkStart w:id="43" w:name="_Toc239881149"/>
      <w:r>
        <w:t>9.  References</w:t>
      </w:r>
      <w:bookmarkEnd w:id="43"/>
    </w:p>
    <w:p w14:paraId="5A7BD581" w14:textId="77777777" w:rsidR="006E487A" w:rsidRDefault="00BA6D23">
      <w:r>
        <w:t>Abadie, A., Diamond, A., &amp; Hainmueller, J. (2010). Synthetic control methods for comparative case studies. Journal of the American Statistical Association, 105(490), 493–505.</w:t>
      </w:r>
    </w:p>
    <w:p w14:paraId="5BBA8B21" w14:textId="77777777" w:rsidR="006E487A" w:rsidRDefault="00BA6D23">
      <w:r>
        <w:t>Abadie, A., &amp; Gardeazabal, J. (2003). The economic costs of conflict. American Economic Review, 93(1), 113–132.</w:t>
      </w:r>
    </w:p>
    <w:p w14:paraId="1E7865F4" w14:textId="77777777" w:rsidR="006E487A" w:rsidRDefault="00BA6D23">
      <w:r>
        <w:t>Amazon.com Inc. (2024). Annual Report (Form 10-K). SEC.</w:t>
      </w:r>
    </w:p>
    <w:p w14:paraId="0BEC09E0" w14:textId="77777777" w:rsidR="006E487A" w:rsidRDefault="00BA6D23">
      <w:r>
        <w:t>Angelopoulos, A. N., &amp; Bates, S. (2021). A gentle introduction to conformal prediction and distribution-free uncertainty quantification. arXiv:2107.07511.</w:t>
      </w:r>
    </w:p>
    <w:p w14:paraId="79438DBE" w14:textId="77777777" w:rsidR="006E487A" w:rsidRDefault="00BA6D23">
      <w:r>
        <w:t>Anselin, L. (1988). Spatial Econometrics: Methods and Models. Kluwer.</w:t>
      </w:r>
    </w:p>
    <w:p w14:paraId="2FA1BB25" w14:textId="77777777" w:rsidR="006E487A" w:rsidRDefault="00BA6D23">
      <w:r>
        <w:t>Ansari, S., Başdere, M., Li, X., Ouyang, Y., &amp; Smilowitz, K. (2018). Advancements in continuous approximation models for logistics. Transportation Research Part B, 107, 229–252.</w:t>
      </w:r>
    </w:p>
    <w:p w14:paraId="6A953D80" w14:textId="77777777" w:rsidR="006E487A" w:rsidRDefault="00BA6D23">
      <w:r>
        <w:t>Anthropic. (2024). Model Context Protocol Specification.</w:t>
      </w:r>
    </w:p>
    <w:p w14:paraId="7A654724" w14:textId="77777777" w:rsidR="006E487A" w:rsidRDefault="00BA6D23">
      <w:r>
        <w:t>Beardwood, J., Halton, J. H., &amp; Hammersley, J. M. (1959). The shortest path through many points. Mathematical Proceedings of the Cambridge Philosophical Society, 55(4), 299–327.</w:t>
      </w:r>
    </w:p>
    <w:p w14:paraId="1A6722A5" w14:textId="77777777" w:rsidR="006E487A" w:rsidRDefault="00BA6D23">
      <w:r>
        <w:t>Cameron, A. C., &amp; Trivedi, P. K. (2013). Regression Analysis of Count Data (2nd ed.). Cambridge University Press.</w:t>
      </w:r>
    </w:p>
    <w:p w14:paraId="01A8E372" w14:textId="77777777" w:rsidR="006E487A" w:rsidRDefault="00BA6D23">
      <w:r>
        <w:t>Caoui, E. H., Hollenbeck, B., &amp; Osborne, M. Dynamic entry and spatial competition: an application to dollar store expansion. Working paper.</w:t>
      </w:r>
    </w:p>
    <w:p w14:paraId="472A352D" w14:textId="77777777" w:rsidR="006E487A" w:rsidRDefault="00BA6D23">
      <w:r>
        <w:t>Chen, T., &amp; Guestrin, C. (2016). XGBoost: A scalable tree boosting system. Proceedings of KDD, 785–794.</w:t>
      </w:r>
    </w:p>
    <w:p w14:paraId="3946D1FF" w14:textId="77777777" w:rsidR="006E487A" w:rsidRDefault="00BA6D23">
      <w:r>
        <w:t>Daganzo, C. F. (1984). The distance travelled to visit N points with a maximum of C stops per vehicle. Transportation Science, 18(4), 331–350.</w:t>
      </w:r>
    </w:p>
    <w:p w14:paraId="6CF2EFFC" w14:textId="77777777" w:rsidR="006E487A" w:rsidRDefault="00BA6D23">
      <w:r>
        <w:t>Egami, N., Hinck, M., Stewart, B. M., &amp; Wei, H. (2023). Using imperfect surrogates for downstream inference. NeurIPS 2023. arXiv:2306.04746.</w:t>
      </w:r>
    </w:p>
    <w:p w14:paraId="3EED9A45" w14:textId="77777777" w:rsidR="006E487A" w:rsidRDefault="00BA6D23">
      <w:r>
        <w:t>Heckman, J. J. (1979). Sample selection bias as a specification error. Econometrica, 47(1), 153–161.</w:t>
      </w:r>
    </w:p>
    <w:p w14:paraId="3C442F7E" w14:textId="77777777" w:rsidR="006E487A" w:rsidRDefault="00BA6D23">
      <w:r>
        <w:t>Houde, J.-F., Newberry, P., &amp; Seim, K. (2023). Nexus tax laws and economies of density in e-commerce: a study of Amazon's fulfillment center network. Econometrica.</w:t>
      </w:r>
    </w:p>
    <w:p w14:paraId="1EDEDA3B" w14:textId="77777777" w:rsidR="006E487A" w:rsidRDefault="00BA6D23">
      <w:r>
        <w:t>Huff, D. L. (1964). Defining and estimating a trading area. Journal of Marketing, 28(3), 34–38.</w:t>
      </w:r>
    </w:p>
    <w:p w14:paraId="6666BAA9" w14:textId="77777777" w:rsidR="006E487A" w:rsidRDefault="00BA6D23">
      <w:r>
        <w:t>Hyndman, R. J., &amp; Koehler, A. B. (2006). Another look at measures of forecast accuracy. International Journal of Forecasting, 22(4), 679–688.</w:t>
      </w:r>
    </w:p>
    <w:p w14:paraId="0E13CC33" w14:textId="77777777" w:rsidR="006E487A" w:rsidRDefault="00BA6D23">
      <w:r>
        <w:t>Ke, G., Meng, Q., Finley, T., et al. (2017). LightGBM: a highly efficient gradient boosting decision tree. NeurIPS 2017.</w:t>
      </w:r>
    </w:p>
    <w:p w14:paraId="288D7C19" w14:textId="77777777" w:rsidR="006E487A" w:rsidRDefault="00BA6D23">
      <w:r>
        <w:t>Krisztin, T., &amp; Piribauer, P. A Bayesian approach for estimation of weight matrices in spatial autoregressive models. arXiv:2101.11938.</w:t>
      </w:r>
    </w:p>
    <w:p w14:paraId="56DE8E11" w14:textId="77777777" w:rsidR="006E487A" w:rsidRDefault="00BA6D23">
      <w:r>
        <w:t>Lambert, D. (1992). Zero-inflated Poisson regression. Technometrics, 34(1), 1–14.</w:t>
      </w:r>
    </w:p>
    <w:p w14:paraId="32FD0ADA" w14:textId="77777777" w:rsidR="006E487A" w:rsidRDefault="00BA6D23">
      <w:r>
        <w:t>LeSage, J. P., &amp; Pace, R. K. (2009). Introduction to Spatial Econometrics. Chapman and Hall/CRC.</w:t>
      </w:r>
    </w:p>
    <w:p w14:paraId="30961D85" w14:textId="77777777" w:rsidR="006E487A" w:rsidRDefault="00BA6D23">
      <w:r>
        <w:t>LeSage, J. P., &amp; Pace, R. K. (2014). The biggest myth in spatial econometrics. Econometrics, 2(4), 217–249.</w:t>
      </w:r>
    </w:p>
    <w:p w14:paraId="09F7465F" w14:textId="77777777" w:rsidR="006E487A" w:rsidRDefault="00BA6D23">
      <w:r>
        <w:t>Lewis, P., Perez, E., Piktus, A., et al. (2020). Retrieval-augmented generation for knowledge-intensive NLP tasks. NeurIPS 33, 9459–9474.</w:t>
      </w:r>
    </w:p>
    <w:p w14:paraId="6E534FD3" w14:textId="77777777" w:rsidR="006E487A" w:rsidRDefault="00BA6D23">
      <w:r>
        <w:t>Li, J., Hui, B., Qu, G., et al. (2023). Can LLM already serve as a database interface? (BIRD). NeurIPS 2023. arXiv:2305.03111.</w:t>
      </w:r>
    </w:p>
    <w:p w14:paraId="0D2A3D07" w14:textId="77777777" w:rsidR="006E487A" w:rsidRDefault="00BA6D23">
      <w:r>
        <w:t>Lundberg, S. M., &amp; Lee, S.-I. (2017). A unified approach to interpreting model predictions. NeurIPS 2017.</w:t>
      </w:r>
    </w:p>
    <w:p w14:paraId="2873F442" w14:textId="77777777" w:rsidR="006E487A" w:rsidRDefault="00BA6D23">
      <w:r>
        <w:t>Luxen, D., &amp; Vetter, C. (2011). Real-time routing with OpenStreetMap data. Proceedings of ACM SIGSPATIAL, 513–516.</w:t>
      </w:r>
    </w:p>
    <w:p w14:paraId="036E6318" w14:textId="77777777" w:rsidR="006E487A" w:rsidRDefault="00BA6D23">
      <w:r>
        <w:t>Openshaw, S. (1984). The Modifiable Areal Unit Problem. CATMOG 38.</w:t>
      </w:r>
    </w:p>
    <w:p w14:paraId="3CDC3E66" w14:textId="77777777" w:rsidR="006E487A" w:rsidRDefault="00BA6D23">
      <w:r>
        <w:t>Pagan, A. (1984). Econometric issues in the analysis of regressions with generated regressors. International Economic Review, 25(1), 221–247.</w:t>
      </w:r>
    </w:p>
    <w:p w14:paraId="6852AF1C" w14:textId="77777777" w:rsidR="006E487A" w:rsidRDefault="00BA6D23">
      <w:r>
        <w:t>Pollmann, M. Causal inference for spatial treatments. arXiv:2011.00373.</w:t>
      </w:r>
    </w:p>
    <w:p w14:paraId="4714C021" w14:textId="77777777" w:rsidR="006E487A" w:rsidRDefault="00BA6D23">
      <w:r>
        <w:t>Reich, B. J., et al. A review of spatial causal inference methods. International Statistical Review. arXiv:2007.02714.</w:t>
      </w:r>
    </w:p>
    <w:p w14:paraId="021B8E9B" w14:textId="77777777" w:rsidR="006E487A" w:rsidRDefault="00BA6D23">
      <w:r>
        <w:t>Reilly, W. J. (1931). The Law of Retail Gravitation.</w:t>
      </w:r>
    </w:p>
    <w:p w14:paraId="763A70E6" w14:textId="77777777" w:rsidR="006E487A" w:rsidRDefault="00BA6D23">
      <w:r>
        <w:t>Schorung, M., Lecourt, T., &amp; Dablanc, L. (2023). Assessing the spatial patterns of Amazon warehouse network in the United States. WCTR.</w:t>
      </w:r>
    </w:p>
    <w:p w14:paraId="3B0A2849" w14:textId="77777777" w:rsidR="006E487A" w:rsidRDefault="00BA6D23">
      <w:r>
        <w:t>Souza, P. C. L. (2019). Estimation and selection of the spatial weight matrix in a spatial lag model. Working paper.</w:t>
      </w:r>
    </w:p>
    <w:p w14:paraId="0FB84553" w14:textId="77777777" w:rsidR="006E487A" w:rsidRDefault="00BA6D23">
      <w:r>
        <w:t>South Coast Air Quality Management District. (2021). Rule 2305 — Warehouse Indirect Source Rule (WAIRE Program).</w:t>
      </w:r>
    </w:p>
    <w:p w14:paraId="2B483B99" w14:textId="77777777" w:rsidR="006E487A" w:rsidRDefault="00BA6D23">
      <w:r>
        <w:t>US Environmental Protection Agency. EJScreen: Environmental Justice Screening and Mapping Tool.</w:t>
      </w:r>
    </w:p>
    <w:p w14:paraId="0D232A23" w14:textId="77777777" w:rsidR="006E487A" w:rsidRDefault="00BA6D23">
      <w:r>
        <w:t>Yao, S., Zhao, J., Yu, D., et al. (2023). ReAct: synergizing reasoning and acting in language models. ICLR 2023.</w:t>
      </w:r>
    </w:p>
    <w:p w14:paraId="1914341E" w14:textId="77777777" w:rsidR="006E487A" w:rsidRDefault="006E487A"/>
    <w:sectPr w:rsidR="006E487A"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8013" w14:textId="77777777" w:rsidR="00BA6D23" w:rsidRDefault="00BA6D23">
      <w:pPr>
        <w:spacing w:after="0" w:line="240" w:lineRule="auto"/>
      </w:pPr>
      <w:r>
        <w:separator/>
      </w:r>
    </w:p>
  </w:endnote>
  <w:endnote w:type="continuationSeparator" w:id="0">
    <w:p w14:paraId="288C56C5" w14:textId="77777777" w:rsidR="00BA6D23" w:rsidRDefault="00BA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9C1E" w14:textId="77777777" w:rsidR="00F56855" w:rsidRDefault="00F56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B8FF" w14:textId="77777777" w:rsidR="006E487A" w:rsidRDefault="00BA6D23">
    <w:pPr>
      <w:pStyle w:val="Footer"/>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5040" w14:textId="77777777" w:rsidR="00F56855" w:rsidRDefault="00F56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6475" w14:textId="77777777" w:rsidR="00BA6D23" w:rsidRDefault="00BA6D23">
      <w:pPr>
        <w:spacing w:after="0" w:line="240" w:lineRule="auto"/>
      </w:pPr>
      <w:r>
        <w:separator/>
      </w:r>
    </w:p>
  </w:footnote>
  <w:footnote w:type="continuationSeparator" w:id="0">
    <w:p w14:paraId="799C5272" w14:textId="77777777" w:rsidR="00BA6D23" w:rsidRDefault="00BA6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F69E" w14:textId="77777777" w:rsidR="00F56855" w:rsidRDefault="00F56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E684" w14:textId="77777777" w:rsidR="00F56855" w:rsidRDefault="00F56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F266" w14:textId="77777777" w:rsidR="00F56855" w:rsidRDefault="00F56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97459">
    <w:abstractNumId w:val="8"/>
  </w:num>
  <w:num w:numId="2" w16cid:durableId="247005791">
    <w:abstractNumId w:val="6"/>
  </w:num>
  <w:num w:numId="3" w16cid:durableId="1332367713">
    <w:abstractNumId w:val="5"/>
  </w:num>
  <w:num w:numId="4" w16cid:durableId="693502502">
    <w:abstractNumId w:val="4"/>
  </w:num>
  <w:num w:numId="5" w16cid:durableId="126364657">
    <w:abstractNumId w:val="7"/>
  </w:num>
  <w:num w:numId="6" w16cid:durableId="1688097616">
    <w:abstractNumId w:val="3"/>
  </w:num>
  <w:num w:numId="7" w16cid:durableId="50816366">
    <w:abstractNumId w:val="2"/>
  </w:num>
  <w:num w:numId="8" w16cid:durableId="814614170">
    <w:abstractNumId w:val="1"/>
  </w:num>
  <w:num w:numId="9" w16cid:durableId="108549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C30"/>
    <w:rsid w:val="0029639D"/>
    <w:rsid w:val="00326F90"/>
    <w:rsid w:val="00532F78"/>
    <w:rsid w:val="006E487A"/>
    <w:rsid w:val="0086165D"/>
    <w:rsid w:val="009A0C66"/>
    <w:rsid w:val="00AA1D8D"/>
    <w:rsid w:val="00B218A7"/>
    <w:rsid w:val="00B47730"/>
    <w:rsid w:val="00BA6D23"/>
    <w:rsid w:val="00CB0664"/>
    <w:rsid w:val="00F56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7EA5F"/>
  <w14:defaultImageDpi w14:val="300"/>
  <w15:docId w15:val="{2AD451F5-6C87-4427-9FB8-7C5B1157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s="Georgia"/>
    </w:rPr>
  </w:style>
  <w:style w:type="paragraph" w:styleId="Heading1">
    <w:name w:val="heading 1"/>
    <w:basedOn w:val="Normal"/>
    <w:next w:val="Normal"/>
    <w:link w:val="Heading1Char"/>
    <w:uiPriority w:val="9"/>
    <w:qFormat/>
    <w:rsid w:val="00FC693F"/>
    <w:pPr>
      <w:keepNext/>
      <w:keepLines/>
      <w:pageBreakBefore/>
      <w:spacing w:before="480" w:after="0"/>
      <w:outlineLvl w:val="0"/>
    </w:pPr>
    <w:rPr>
      <w:b/>
      <w:bCs/>
      <w:color w:val="1A2B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A2B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9280"/>
      </w:tabs>
      <w:spacing w:before="120" w:after="40"/>
    </w:pPr>
    <w:rPr>
      <w:b/>
      <w:bCs/>
      <w:color w:val="1A2B4A"/>
      <w:sz w:val="28"/>
      <w:szCs w:val="28"/>
    </w:rPr>
  </w:style>
  <w:style w:type="paragraph" w:styleId="TOC2">
    <w:name w:val="toc 2"/>
    <w:basedOn w:val="Normal"/>
    <w:next w:val="Normal"/>
    <w:uiPriority w:val="39"/>
    <w:pPr>
      <w:tabs>
        <w:tab w:val="right" w:leader="dot" w:pos="9280"/>
      </w:tabs>
      <w:spacing w:after="20"/>
      <w:ind w:left="432"/>
    </w:pPr>
    <w:rPr>
      <w:color w:val="4B5563"/>
      <w:sz w:val="20"/>
      <w:szCs w:val="20"/>
    </w:rPr>
  </w:style>
  <w:style w:type="character" w:styleId="Hyperlink">
    <w:name w:val="Hyperlink"/>
    <w:basedOn w:val="DefaultParagraphFont"/>
    <w:uiPriority w:val="99"/>
    <w:unhideWhenUsed/>
    <w:rsid w:val="00F568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9616</Words>
  <Characters>54814</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Sharada Dogiparthi</cp:lastModifiedBy>
  <cp:revision>3</cp:revision>
  <dcterms:created xsi:type="dcterms:W3CDTF">2013-12-23T23:15:00Z</dcterms:created>
  <dcterms:modified xsi:type="dcterms:W3CDTF">2026-09-10T04:17:00Z</dcterms:modified>
  <cp:category/>
</cp:coreProperties>
</file>