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/>
        <w:ind w:left="1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760085" cy="12700"/>
                <wp:effectExtent l="9525" t="0" r="0" b="635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60085" cy="12700"/>
                          <a:chExt cx="5760085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22999" y="6326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3B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8853"/>
                            <a:ext cx="57600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0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3B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3.55pt;height:1pt;mso-position-horizontal-relative:char;mso-position-vertical-relative:line" id="docshapegroup1" coordorigin="0,0" coordsize="9071,20">
                <v:shape style="position:absolute;left:351;top:9;width:2;height:2" id="docshape2" coordorigin="351,10" coordsize="0,0" path="m351,10xe" filled="false" stroked="true" strokeweight=".99628pt" strokecolor="#003b78">
                  <v:path arrowok="t"/>
                  <v:stroke dashstyle="solid"/>
                </v:shape>
                <v:line style="position:absolute" from="0,14" to="9071,14" stroked="true" strokeweight=".398pt" strokecolor="#003b7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</w:pPr>
    </w:p>
    <w:p>
      <w:pPr>
        <w:pStyle w:val="BodyText"/>
        <w:spacing w:before="35"/>
      </w:pPr>
    </w:p>
    <w:p>
      <w:pPr>
        <w:spacing w:before="0"/>
        <w:ind w:left="5067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1122997</wp:posOffset>
            </wp:positionH>
            <wp:positionV relativeFrom="paragraph">
              <wp:posOffset>-224518</wp:posOffset>
            </wp:positionV>
            <wp:extent cx="1080008" cy="108000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8" cy="108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  <w:b/>
          <w:color w:val="003B78"/>
          <w:spacing w:val="-6"/>
          <w:sz w:val="24"/>
        </w:rPr>
        <w:t>Université</w:t>
      </w:r>
      <w:r>
        <w:rPr>
          <w:rFonts w:ascii="Georgia" w:hAnsi="Georgia"/>
          <w:b/>
          <w:color w:val="003B78"/>
          <w:spacing w:val="6"/>
          <w:sz w:val="24"/>
        </w:rPr>
        <w:t> </w:t>
      </w:r>
      <w:r>
        <w:rPr>
          <w:rFonts w:ascii="Georgia" w:hAnsi="Georgia"/>
          <w:b/>
          <w:color w:val="003B78"/>
          <w:spacing w:val="-6"/>
          <w:sz w:val="24"/>
        </w:rPr>
        <w:t>Mohammed</w:t>
      </w:r>
      <w:r>
        <w:rPr>
          <w:rFonts w:ascii="Georgia" w:hAnsi="Georgia"/>
          <w:b/>
          <w:color w:val="003B78"/>
          <w:spacing w:val="7"/>
          <w:sz w:val="24"/>
        </w:rPr>
        <w:t> </w:t>
      </w:r>
      <w:r>
        <w:rPr>
          <w:rFonts w:ascii="Georgia" w:hAnsi="Georgia"/>
          <w:b/>
          <w:color w:val="003B78"/>
          <w:spacing w:val="-6"/>
          <w:sz w:val="24"/>
        </w:rPr>
        <w:t>V</w:t>
      </w:r>
      <w:r>
        <w:rPr>
          <w:rFonts w:ascii="Georgia" w:hAnsi="Georgia"/>
          <w:b/>
          <w:color w:val="003B78"/>
          <w:spacing w:val="6"/>
          <w:sz w:val="24"/>
        </w:rPr>
        <w:t> </w:t>
      </w:r>
      <w:r>
        <w:rPr>
          <w:rFonts w:ascii="Georgia" w:hAnsi="Georgia"/>
          <w:b/>
          <w:color w:val="003B78"/>
          <w:spacing w:val="-6"/>
          <w:sz w:val="24"/>
        </w:rPr>
        <w:t>de</w:t>
      </w:r>
      <w:r>
        <w:rPr>
          <w:rFonts w:ascii="Georgia" w:hAnsi="Georgia"/>
          <w:b/>
          <w:color w:val="003B78"/>
          <w:spacing w:val="7"/>
          <w:sz w:val="24"/>
        </w:rPr>
        <w:t> </w:t>
      </w:r>
      <w:r>
        <w:rPr>
          <w:rFonts w:ascii="Georgia" w:hAnsi="Georgia"/>
          <w:b/>
          <w:color w:val="003B78"/>
          <w:spacing w:val="-6"/>
          <w:sz w:val="24"/>
        </w:rPr>
        <w:t>Rabat</w:t>
      </w:r>
    </w:p>
    <w:p>
      <w:pPr>
        <w:pStyle w:val="BodyText"/>
        <w:spacing w:before="82"/>
        <w:ind w:right="848"/>
        <w:jc w:val="right"/>
      </w:pPr>
      <w:r>
        <w:rPr>
          <w:color w:val="003B78"/>
        </w:rPr>
        <w:t>Faculté</w:t>
      </w:r>
      <w:r>
        <w:rPr>
          <w:color w:val="003B78"/>
          <w:spacing w:val="37"/>
        </w:rPr>
        <w:t> </w:t>
      </w:r>
      <w:r>
        <w:rPr>
          <w:color w:val="003B78"/>
        </w:rPr>
        <w:t>des</w:t>
      </w:r>
      <w:r>
        <w:rPr>
          <w:color w:val="003B78"/>
          <w:spacing w:val="37"/>
        </w:rPr>
        <w:t> </w:t>
      </w:r>
      <w:r>
        <w:rPr>
          <w:color w:val="003B78"/>
          <w:spacing w:val="-2"/>
        </w:rPr>
        <w:t>Sciences</w:t>
      </w:r>
    </w:p>
    <w:p>
      <w:pPr>
        <w:spacing w:before="87"/>
        <w:ind w:left="0" w:right="849" w:firstLine="0"/>
        <w:jc w:val="right"/>
        <w:rPr>
          <w:rFonts w:ascii="Georgia"/>
          <w:b/>
          <w:sz w:val="24"/>
        </w:rPr>
      </w:pPr>
      <w:r>
        <w:rPr>
          <w:rFonts w:ascii="Georgia"/>
          <w:b/>
          <w:color w:val="003B78"/>
          <w:spacing w:val="-2"/>
          <w:w w:val="110"/>
          <w:sz w:val="24"/>
        </w:rPr>
        <w:t>RABAT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09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899998</wp:posOffset>
                </wp:positionH>
                <wp:positionV relativeFrom="paragraph">
                  <wp:posOffset>228824</wp:posOffset>
                </wp:positionV>
                <wp:extent cx="576008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B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8.017679pt;width:453.55pt;height:.1pt;mso-position-horizontal-relative:page;mso-position-vertical-relative:paragraph;z-index:-15728128;mso-wrap-distance-left:0;mso-wrap-distance-right:0" id="docshape3" coordorigin="1417,360" coordsize="9071,0" path="m1417,360l10488,360e" filled="false" stroked="true" strokeweight=".398pt" strokecolor="#003b7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Georgia"/>
          <w:b/>
          <w:sz w:val="41"/>
        </w:rPr>
      </w:pPr>
    </w:p>
    <w:p>
      <w:pPr>
        <w:pStyle w:val="BodyText"/>
        <w:spacing w:before="356"/>
        <w:rPr>
          <w:rFonts w:ascii="Georgia"/>
          <w:b/>
          <w:sz w:val="41"/>
        </w:rPr>
      </w:pPr>
    </w:p>
    <w:p>
      <w:pPr>
        <w:pStyle w:val="Title"/>
        <w:ind w:firstLine="0"/>
      </w:pPr>
      <w:r>
        <w:rPr>
          <w:color w:val="003B78"/>
        </w:rPr>
        <w:t>Statistiques</w:t>
      </w:r>
      <w:r>
        <w:rPr>
          <w:color w:val="003B78"/>
          <w:spacing w:val="51"/>
        </w:rPr>
        <w:t> </w:t>
      </w:r>
      <w:r>
        <w:rPr>
          <w:color w:val="003B78"/>
        </w:rPr>
        <w:t>et</w:t>
      </w:r>
      <w:r>
        <w:rPr>
          <w:color w:val="003B78"/>
          <w:spacing w:val="52"/>
        </w:rPr>
        <w:t> </w:t>
      </w:r>
      <w:r>
        <w:rPr>
          <w:color w:val="003B78"/>
        </w:rPr>
        <w:t>Analyse</w:t>
      </w:r>
      <w:r>
        <w:rPr>
          <w:color w:val="003B78"/>
          <w:spacing w:val="52"/>
        </w:rPr>
        <w:t> </w:t>
      </w:r>
      <w:r>
        <w:rPr>
          <w:color w:val="003B78"/>
        </w:rPr>
        <w:t>de</w:t>
      </w:r>
      <w:r>
        <w:rPr>
          <w:color w:val="003B78"/>
          <w:spacing w:val="52"/>
        </w:rPr>
        <w:t> </w:t>
      </w:r>
      <w:r>
        <w:rPr>
          <w:color w:val="003B78"/>
          <w:spacing w:val="-2"/>
        </w:rPr>
        <w:t>données</w:t>
      </w:r>
    </w:p>
    <w:p>
      <w:pPr>
        <w:pStyle w:val="BodyText"/>
        <w:rPr>
          <w:rFonts w:ascii="Cambria"/>
          <w:b/>
          <w:sz w:val="41"/>
        </w:rPr>
      </w:pPr>
    </w:p>
    <w:p>
      <w:pPr>
        <w:pStyle w:val="BodyText"/>
        <w:spacing w:before="108"/>
        <w:rPr>
          <w:rFonts w:ascii="Cambria"/>
          <w:b/>
          <w:sz w:val="41"/>
        </w:rPr>
      </w:pPr>
    </w:p>
    <w:p>
      <w:pPr>
        <w:pStyle w:val="Heading2"/>
        <w:spacing w:line="336" w:lineRule="auto"/>
        <w:ind w:left="142" w:right="849" w:firstLine="0"/>
        <w:jc w:val="center"/>
      </w:pPr>
      <w:r>
        <w:rPr>
          <w:w w:val="105"/>
        </w:rPr>
        <w:t>MASTER</w:t>
      </w:r>
      <w:r>
        <w:rPr>
          <w:spacing w:val="-11"/>
          <w:w w:val="105"/>
        </w:rPr>
        <w:t> </w:t>
      </w:r>
      <w:r>
        <w:rPr>
          <w:w w:val="105"/>
        </w:rPr>
        <w:t>MATHÉMATIQUES</w:t>
      </w:r>
      <w:r>
        <w:rPr>
          <w:spacing w:val="-10"/>
          <w:w w:val="105"/>
        </w:rPr>
        <w:t> </w:t>
      </w:r>
      <w:r>
        <w:rPr>
          <w:w w:val="105"/>
        </w:rPr>
        <w:t>ET</w:t>
      </w:r>
      <w:r>
        <w:rPr>
          <w:spacing w:val="-10"/>
          <w:w w:val="105"/>
        </w:rPr>
        <w:t> </w:t>
      </w:r>
      <w:r>
        <w:rPr>
          <w:w w:val="105"/>
        </w:rPr>
        <w:t>INGÉNIERIE</w:t>
      </w:r>
      <w:r>
        <w:rPr>
          <w:spacing w:val="-10"/>
          <w:w w:val="105"/>
        </w:rPr>
        <w:t> </w:t>
      </w:r>
      <w:r>
        <w:rPr>
          <w:w w:val="105"/>
        </w:rPr>
        <w:t>NUMÉRIQUE </w:t>
      </w:r>
      <w:r>
        <w:rPr>
          <w:spacing w:val="-2"/>
          <w:w w:val="105"/>
        </w:rPr>
        <w:t>(MIN-TN)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7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899998</wp:posOffset>
                </wp:positionH>
                <wp:positionV relativeFrom="paragraph">
                  <wp:posOffset>164152</wp:posOffset>
                </wp:positionV>
                <wp:extent cx="576008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B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2.925365pt;width:453.55pt;height:.1pt;mso-position-horizontal-relative:page;mso-position-vertical-relative:paragraph;z-index:-15727616;mso-wrap-distance-left:0;mso-wrap-distance-right:0" id="docshape4" coordorigin="1417,259" coordsize="9071,0" path="m1417,259l10488,259e" filled="false" stroked="true" strokeweight=".398pt" strokecolor="#003b7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Title"/>
        <w:spacing w:line="187" w:lineRule="auto" w:before="316"/>
        <w:ind w:left="415" w:right="1123"/>
      </w:pPr>
      <w:r>
        <w:rPr>
          <w:color w:val="003B78"/>
        </w:rPr>
        <w:t>Étude</w:t>
      </w:r>
      <w:r>
        <w:rPr>
          <w:color w:val="003B78"/>
          <w:spacing w:val="40"/>
        </w:rPr>
        <w:t> </w:t>
      </w:r>
      <w:r>
        <w:rPr>
          <w:color w:val="003B78"/>
        </w:rPr>
        <w:t>des</w:t>
      </w:r>
      <w:r>
        <w:rPr>
          <w:color w:val="003B78"/>
          <w:spacing w:val="40"/>
        </w:rPr>
        <w:t> </w:t>
      </w:r>
      <w:r>
        <w:rPr>
          <w:color w:val="003B78"/>
        </w:rPr>
        <w:t>relations</w:t>
      </w:r>
      <w:r>
        <w:rPr>
          <w:color w:val="003B78"/>
          <w:spacing w:val="40"/>
        </w:rPr>
        <w:t> </w:t>
      </w:r>
      <w:r>
        <w:rPr>
          <w:color w:val="003B78"/>
        </w:rPr>
        <w:t>entre</w:t>
      </w:r>
      <w:r>
        <w:rPr>
          <w:color w:val="003B78"/>
          <w:spacing w:val="40"/>
        </w:rPr>
        <w:t> </w:t>
      </w:r>
      <w:r>
        <w:rPr>
          <w:color w:val="003B78"/>
        </w:rPr>
        <w:t>indicateurs macroéconomiques</w:t>
      </w:r>
      <w:r>
        <w:rPr>
          <w:color w:val="003B78"/>
          <w:spacing w:val="4"/>
        </w:rPr>
        <w:t> </w:t>
      </w:r>
      <w:r>
        <w:rPr>
          <w:color w:val="003B78"/>
        </w:rPr>
        <w:t>et</w:t>
      </w:r>
      <w:r>
        <w:rPr>
          <w:color w:val="003B78"/>
          <w:spacing w:val="4"/>
        </w:rPr>
        <w:t> </w:t>
      </w:r>
      <w:r>
        <w:rPr>
          <w:color w:val="003B78"/>
        </w:rPr>
        <w:t>dynamique</w:t>
      </w:r>
      <w:r>
        <w:rPr>
          <w:color w:val="003B78"/>
          <w:spacing w:val="4"/>
        </w:rPr>
        <w:t> </w:t>
      </w:r>
      <w:r>
        <w:rPr>
          <w:color w:val="003B78"/>
        </w:rPr>
        <w:t>du</w:t>
      </w:r>
      <w:r>
        <w:rPr>
          <w:color w:val="003B78"/>
          <w:spacing w:val="4"/>
        </w:rPr>
        <w:t> </w:t>
      </w:r>
      <w:r>
        <w:rPr>
          <w:color w:val="003B78"/>
        </w:rPr>
        <w:t>marché boursier</w:t>
      </w:r>
      <w:r>
        <w:rPr>
          <w:color w:val="003B78"/>
          <w:spacing w:val="40"/>
        </w:rPr>
        <w:t> </w:t>
      </w:r>
      <w:r>
        <w:rPr>
          <w:color w:val="003B78"/>
        </w:rPr>
        <w:t>marocain</w:t>
      </w:r>
      <w:r>
        <w:rPr>
          <w:color w:val="003B78"/>
          <w:spacing w:val="40"/>
        </w:rPr>
        <w:t> </w:t>
      </w:r>
      <w:r>
        <w:rPr>
          <w:color w:val="003B78"/>
        </w:rPr>
        <w:t>par</w:t>
      </w:r>
      <w:r>
        <w:rPr>
          <w:color w:val="003B78"/>
          <w:spacing w:val="40"/>
        </w:rPr>
        <w:t> </w:t>
      </w:r>
      <w:r>
        <w:rPr>
          <w:color w:val="003B78"/>
        </w:rPr>
        <w:t>analyse</w:t>
      </w:r>
      <w:r>
        <w:rPr>
          <w:color w:val="003B78"/>
          <w:spacing w:val="40"/>
        </w:rPr>
        <w:t> </w:t>
      </w:r>
      <w:r>
        <w:rPr>
          <w:color w:val="003B78"/>
        </w:rPr>
        <w:t>factorielle </w:t>
      </w:r>
      <w:r>
        <w:rPr>
          <w:color w:val="003B78"/>
          <w:spacing w:val="-2"/>
        </w:rPr>
        <w:t>multivariée</w:t>
      </w: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rPr>
          <w:rFonts w:ascii="Cambria"/>
          <w:b/>
          <w:sz w:val="20"/>
        </w:rPr>
      </w:pPr>
    </w:p>
    <w:p>
      <w:pPr>
        <w:pStyle w:val="BodyText"/>
        <w:spacing w:before="36"/>
        <w:rPr>
          <w:rFonts w:ascii="Cambria"/>
          <w:b/>
          <w:sz w:val="20"/>
        </w:rPr>
      </w:pPr>
      <w:r>
        <w:rPr>
          <w:rFonts w:ascii="Cambr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899998</wp:posOffset>
                </wp:positionH>
                <wp:positionV relativeFrom="paragraph">
                  <wp:posOffset>187152</wp:posOffset>
                </wp:positionV>
                <wp:extent cx="576008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0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0085" h="0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3B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5997pt;margin-top:14.736379pt;width:453.55pt;height:.1pt;mso-position-horizontal-relative:page;mso-position-vertical-relative:paragraph;z-index:-15727104;mso-wrap-distance-left:0;mso-wrap-distance-right:0" id="docshape5" coordorigin="1417,295" coordsize="9071,0" path="m1417,295l10488,295e" filled="false" stroked="true" strokeweight=".398pt" strokecolor="#003b7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Cambria"/>
          <w:b/>
          <w:sz w:val="28"/>
        </w:rPr>
      </w:pPr>
    </w:p>
    <w:p>
      <w:pPr>
        <w:pStyle w:val="BodyText"/>
        <w:rPr>
          <w:rFonts w:ascii="Cambria"/>
          <w:b/>
          <w:sz w:val="28"/>
        </w:rPr>
      </w:pPr>
    </w:p>
    <w:p>
      <w:pPr>
        <w:pStyle w:val="BodyText"/>
        <w:spacing w:before="65"/>
        <w:rPr>
          <w:rFonts w:ascii="Cambria"/>
          <w:b/>
          <w:sz w:val="28"/>
        </w:rPr>
      </w:pPr>
    </w:p>
    <w:p>
      <w:pPr>
        <w:pStyle w:val="Heading2"/>
        <w:spacing w:line="336" w:lineRule="auto" w:before="1"/>
        <w:ind w:left="2650" w:right="2934" w:firstLine="544"/>
      </w:pPr>
      <w:r>
        <w:rPr>
          <w:w w:val="105"/>
        </w:rPr>
        <w:t>FATIMA MELLOUK NOUR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HODA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BSSIR</w:t>
      </w:r>
    </w:p>
    <w:p>
      <w:pPr>
        <w:spacing w:line="318" w:lineRule="exact" w:before="0"/>
        <w:ind w:left="3197" w:right="0" w:firstLine="0"/>
        <w:jc w:val="left"/>
        <w:rPr>
          <w:rFonts w:ascii="Georgia"/>
          <w:b/>
          <w:sz w:val="28"/>
        </w:rPr>
      </w:pPr>
      <w:r>
        <w:rPr>
          <w:rFonts w:ascii="Georgia"/>
          <w:b/>
          <w:w w:val="105"/>
          <w:sz w:val="28"/>
        </w:rPr>
        <w:t>DOHA</w:t>
      </w:r>
      <w:r>
        <w:rPr>
          <w:rFonts w:ascii="Georgia"/>
          <w:b/>
          <w:spacing w:val="10"/>
          <w:w w:val="105"/>
          <w:sz w:val="28"/>
        </w:rPr>
        <w:t> </w:t>
      </w:r>
      <w:r>
        <w:rPr>
          <w:rFonts w:ascii="Georgia"/>
          <w:b/>
          <w:w w:val="105"/>
          <w:sz w:val="28"/>
        </w:rPr>
        <w:t>ET-</w:t>
      </w:r>
      <w:r>
        <w:rPr>
          <w:rFonts w:ascii="Georgia"/>
          <w:b/>
          <w:spacing w:val="-2"/>
          <w:w w:val="105"/>
          <w:sz w:val="28"/>
        </w:rPr>
        <w:t>TOUIMY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94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type w:val="continuous"/>
          <w:pgSz w:w="11910" w:h="16840"/>
          <w:pgMar w:top="1620" w:bottom="280" w:left="1275" w:right="566"/>
        </w:sectPr>
      </w:pPr>
    </w:p>
    <w:p>
      <w:pPr>
        <w:spacing w:before="106"/>
        <w:ind w:left="493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color w:val="003B78"/>
          <w:spacing w:val="-6"/>
          <w:sz w:val="24"/>
        </w:rPr>
        <w:t>Encadré</w:t>
      </w:r>
      <w:r>
        <w:rPr>
          <w:rFonts w:ascii="Georgia" w:hAnsi="Georgia"/>
          <w:b/>
          <w:color w:val="003B78"/>
          <w:spacing w:val="-3"/>
          <w:sz w:val="24"/>
        </w:rPr>
        <w:t> </w:t>
      </w:r>
      <w:r>
        <w:rPr>
          <w:rFonts w:ascii="Georgia" w:hAnsi="Georgia"/>
          <w:b/>
          <w:color w:val="003B78"/>
          <w:spacing w:val="-6"/>
          <w:sz w:val="24"/>
        </w:rPr>
        <w:t>par</w:t>
      </w:r>
      <w:r>
        <w:rPr>
          <w:rFonts w:ascii="Georgia" w:hAnsi="Georgia"/>
          <w:b/>
          <w:color w:val="003B78"/>
          <w:spacing w:val="-2"/>
          <w:sz w:val="24"/>
        </w:rPr>
        <w:t> </w:t>
      </w:r>
      <w:r>
        <w:rPr>
          <w:rFonts w:ascii="Georgia" w:hAnsi="Georgia"/>
          <w:b/>
          <w:color w:val="003B78"/>
          <w:spacing w:val="-10"/>
          <w:sz w:val="24"/>
        </w:rPr>
        <w:t>:</w:t>
      </w:r>
    </w:p>
    <w:p>
      <w:pPr>
        <w:pStyle w:val="BodyText"/>
        <w:spacing w:before="96"/>
        <w:rPr>
          <w:rFonts w:ascii="Georgia"/>
          <w:b/>
        </w:rPr>
      </w:pPr>
    </w:p>
    <w:p>
      <w:pPr>
        <w:pStyle w:val="Heading3"/>
        <w:ind w:left="493"/>
      </w:pPr>
      <w:r>
        <w:rPr>
          <w:w w:val="105"/>
        </w:rPr>
        <w:t>Pr.</w:t>
      </w:r>
      <w:r>
        <w:rPr>
          <w:spacing w:val="9"/>
          <w:w w:val="105"/>
        </w:rPr>
        <w:t> </w:t>
      </w:r>
      <w:r>
        <w:rPr>
          <w:w w:val="105"/>
        </w:rPr>
        <w:t>BARAKA</w:t>
      </w:r>
      <w:r>
        <w:rPr>
          <w:spacing w:val="9"/>
          <w:w w:val="105"/>
        </w:rPr>
        <w:t> </w:t>
      </w:r>
      <w:r>
        <w:rPr>
          <w:w w:val="105"/>
        </w:rPr>
        <w:t>ACHRAF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CHAKIR</w:t>
      </w:r>
    </w:p>
    <w:p>
      <w:pPr>
        <w:pStyle w:val="BodyText"/>
        <w:spacing w:before="101"/>
        <w:ind w:left="493"/>
      </w:pPr>
      <w:r>
        <w:rPr/>
        <w:br w:type="column"/>
      </w:r>
      <w:r>
        <w:rPr>
          <w:color w:val="003B78"/>
          <w:w w:val="105"/>
        </w:rPr>
        <w:t>Année</w:t>
      </w:r>
      <w:r>
        <w:rPr>
          <w:color w:val="003B78"/>
          <w:spacing w:val="-5"/>
          <w:w w:val="105"/>
        </w:rPr>
        <w:t> </w:t>
      </w:r>
      <w:r>
        <w:rPr>
          <w:color w:val="003B78"/>
          <w:spacing w:val="-2"/>
          <w:w w:val="105"/>
        </w:rPr>
        <w:t>universitaire</w:t>
      </w:r>
    </w:p>
    <w:p>
      <w:pPr>
        <w:pStyle w:val="BodyText"/>
        <w:spacing w:before="94"/>
      </w:pPr>
    </w:p>
    <w:p>
      <w:pPr>
        <w:spacing w:before="0"/>
        <w:ind w:left="1267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w w:val="95"/>
          <w:sz w:val="24"/>
        </w:rPr>
        <w:t>2025–2026</w:t>
      </w:r>
    </w:p>
    <w:p>
      <w:pPr>
        <w:spacing w:after="0"/>
        <w:jc w:val="left"/>
        <w:rPr>
          <w:rFonts w:ascii="Georgia" w:hAnsi="Georgia"/>
          <w:b/>
          <w:sz w:val="24"/>
        </w:rPr>
        <w:sectPr>
          <w:type w:val="continuous"/>
          <w:pgSz w:w="11910" w:h="16840"/>
          <w:pgMar w:top="1620" w:bottom="280" w:left="1275" w:right="566"/>
          <w:cols w:num="2" w:equalWidth="0">
            <w:col w:w="4616" w:space="2120"/>
            <w:col w:w="3333"/>
          </w:cols>
        </w:sectPr>
      </w:pPr>
    </w:p>
    <w:p>
      <w:pPr>
        <w:pStyle w:val="Heading1"/>
        <w:spacing w:before="134"/>
        <w:ind w:firstLine="0"/>
      </w:pPr>
      <w:r>
        <w:rPr>
          <w:color w:val="003B78"/>
          <w:spacing w:val="-2"/>
        </w:rPr>
        <w:t>Introduction</w:t>
      </w:r>
    </w:p>
    <w:p>
      <w:pPr>
        <w:pStyle w:val="BodyText"/>
        <w:spacing w:line="312" w:lineRule="auto" w:before="295"/>
        <w:ind w:left="142" w:right="849" w:firstLine="351"/>
        <w:jc w:val="both"/>
      </w:pPr>
      <w:r>
        <w:rPr>
          <w:w w:val="105"/>
        </w:rPr>
        <w:t>Le développement du marché boursier constitue un levier essentiel de financement de l’économie et un indicateur clé de la santé économique d’un pays. Au Maroc, le marché boursier,</w:t>
      </w:r>
      <w:r>
        <w:rPr>
          <w:w w:val="105"/>
        </w:rPr>
        <w:t> représenté</w:t>
      </w:r>
      <w:r>
        <w:rPr>
          <w:w w:val="105"/>
        </w:rPr>
        <w:t> principalement</w:t>
      </w:r>
      <w:r>
        <w:rPr>
          <w:w w:val="105"/>
        </w:rPr>
        <w:t> par</w:t>
      </w:r>
      <w:r>
        <w:rPr>
          <w:w w:val="105"/>
        </w:rPr>
        <w:t> la</w:t>
      </w:r>
      <w:r>
        <w:rPr>
          <w:w w:val="105"/>
        </w:rPr>
        <w:t> Bourse</w:t>
      </w:r>
      <w:r>
        <w:rPr>
          <w:w w:val="105"/>
        </w:rPr>
        <w:t> de</w:t>
      </w:r>
      <w:r>
        <w:rPr>
          <w:w w:val="105"/>
        </w:rPr>
        <w:t> Casablanca,</w:t>
      </w:r>
      <w:r>
        <w:rPr>
          <w:w w:val="105"/>
        </w:rPr>
        <w:t> joue</w:t>
      </w:r>
      <w:r>
        <w:rPr>
          <w:w w:val="105"/>
        </w:rPr>
        <w:t> un</w:t>
      </w:r>
      <w:r>
        <w:rPr>
          <w:w w:val="105"/>
        </w:rPr>
        <w:t> rôle</w:t>
      </w:r>
      <w:r>
        <w:rPr>
          <w:w w:val="105"/>
        </w:rPr>
        <w:t> croissant dans la mobilisation de l’épargne et le financement des entreprises. Toutefois, son évolu- tion demeure étroitement liée au contexte macroéconomique, notamment à la croissance économique, à l’inflation, à la politique monétaire et aux échanges extérieurs.</w:t>
      </w:r>
    </w:p>
    <w:p>
      <w:pPr>
        <w:pStyle w:val="BodyText"/>
        <w:spacing w:line="312" w:lineRule="auto"/>
        <w:ind w:left="142" w:right="847" w:firstLine="351"/>
        <w:jc w:val="both"/>
      </w:pPr>
      <w:r>
        <w:rPr>
          <w:w w:val="105"/>
        </w:rPr>
        <w:t>Dans</w:t>
      </w:r>
      <w:r>
        <w:rPr>
          <w:w w:val="105"/>
        </w:rPr>
        <w:t> ce</w:t>
      </w:r>
      <w:r>
        <w:rPr>
          <w:w w:val="105"/>
        </w:rPr>
        <w:t> contexte,</w:t>
      </w:r>
      <w:r>
        <w:rPr>
          <w:w w:val="105"/>
        </w:rPr>
        <w:t> l’analyse</w:t>
      </w:r>
      <w:r>
        <w:rPr>
          <w:w w:val="105"/>
        </w:rPr>
        <w:t> des</w:t>
      </w:r>
      <w:r>
        <w:rPr>
          <w:w w:val="105"/>
        </w:rPr>
        <w:t> relations</w:t>
      </w:r>
      <w:r>
        <w:rPr>
          <w:w w:val="105"/>
        </w:rPr>
        <w:t> entre</w:t>
      </w:r>
      <w:r>
        <w:rPr>
          <w:w w:val="105"/>
        </w:rPr>
        <w:t> les</w:t>
      </w:r>
      <w:r>
        <w:rPr>
          <w:w w:val="105"/>
        </w:rPr>
        <w:t> indicateurs</w:t>
      </w:r>
      <w:r>
        <w:rPr>
          <w:w w:val="105"/>
        </w:rPr>
        <w:t> macroéconomiques</w:t>
      </w:r>
      <w:r>
        <w:rPr>
          <w:w w:val="105"/>
        </w:rPr>
        <w:t> et</w:t>
      </w:r>
      <w:r>
        <w:rPr>
          <w:spacing w:val="80"/>
          <w:w w:val="150"/>
        </w:rPr>
        <w:t> </w:t>
      </w:r>
      <w:r>
        <w:rPr>
          <w:w w:val="105"/>
        </w:rPr>
        <w:t>la dynamique du marché boursier marocain apparaît comme un enjeu majeur pour com- prendre</w:t>
      </w:r>
      <w:r>
        <w:rPr>
          <w:w w:val="105"/>
        </w:rPr>
        <w:t> les</w:t>
      </w:r>
      <w:r>
        <w:rPr>
          <w:w w:val="105"/>
        </w:rPr>
        <w:t> mécanismes</w:t>
      </w:r>
      <w:r>
        <w:rPr>
          <w:w w:val="105"/>
        </w:rPr>
        <w:t> macro-financiers</w:t>
      </w:r>
      <w:r>
        <w:rPr>
          <w:w w:val="105"/>
        </w:rPr>
        <w:t> à</w:t>
      </w:r>
      <w:r>
        <w:rPr>
          <w:w w:val="105"/>
        </w:rPr>
        <w:t> l’œuvre.</w:t>
      </w:r>
      <w:r>
        <w:rPr>
          <w:w w:val="105"/>
        </w:rPr>
        <w:t> La</w:t>
      </w:r>
      <w:r>
        <w:rPr>
          <w:w w:val="105"/>
        </w:rPr>
        <w:t> multiplicité</w:t>
      </w:r>
      <w:r>
        <w:rPr>
          <w:w w:val="105"/>
        </w:rPr>
        <w:t> des</w:t>
      </w:r>
      <w:r>
        <w:rPr>
          <w:w w:val="105"/>
        </w:rPr>
        <w:t> variables</w:t>
      </w:r>
      <w:r>
        <w:rPr>
          <w:w w:val="105"/>
        </w:rPr>
        <w:t> impli- quées</w:t>
      </w:r>
      <w:r>
        <w:rPr>
          <w:w w:val="105"/>
        </w:rPr>
        <w:t> justifie</w:t>
      </w:r>
      <w:r>
        <w:rPr>
          <w:w w:val="105"/>
        </w:rPr>
        <w:t> le</w:t>
      </w:r>
      <w:r>
        <w:rPr>
          <w:w w:val="105"/>
        </w:rPr>
        <w:t> recours</w:t>
      </w:r>
      <w:r>
        <w:rPr>
          <w:w w:val="105"/>
        </w:rPr>
        <w:t> à</w:t>
      </w:r>
      <w:r>
        <w:rPr>
          <w:w w:val="105"/>
        </w:rPr>
        <w:t> des</w:t>
      </w:r>
      <w:r>
        <w:rPr>
          <w:w w:val="105"/>
        </w:rPr>
        <w:t> méthodes</w:t>
      </w:r>
      <w:r>
        <w:rPr>
          <w:w w:val="105"/>
        </w:rPr>
        <w:t> d’analyse</w:t>
      </w:r>
      <w:r>
        <w:rPr>
          <w:w w:val="105"/>
        </w:rPr>
        <w:t> multivariée</w:t>
      </w:r>
      <w:r>
        <w:rPr>
          <w:w w:val="105"/>
        </w:rPr>
        <w:t> capables</w:t>
      </w:r>
      <w:r>
        <w:rPr>
          <w:w w:val="105"/>
        </w:rPr>
        <w:t> de</w:t>
      </w:r>
      <w:r>
        <w:rPr>
          <w:w w:val="105"/>
        </w:rPr>
        <w:t> synthétiser l’information et de mettre en évidence les structures sous-jacentes des données.</w:t>
      </w:r>
    </w:p>
    <w:p>
      <w:pPr>
        <w:pStyle w:val="BodyText"/>
        <w:spacing w:line="312" w:lineRule="auto"/>
        <w:ind w:left="142" w:right="847" w:firstLine="351"/>
        <w:jc w:val="both"/>
      </w:pPr>
      <w:r>
        <w:rPr>
          <w:w w:val="105"/>
        </w:rPr>
        <w:t>L’objectif</w:t>
      </w:r>
      <w:r>
        <w:rPr>
          <w:w w:val="105"/>
        </w:rPr>
        <w:t> principal</w:t>
      </w:r>
      <w:r>
        <w:rPr>
          <w:w w:val="105"/>
        </w:rPr>
        <w:t> de</w:t>
      </w:r>
      <w:r>
        <w:rPr>
          <w:w w:val="105"/>
        </w:rPr>
        <w:t> ce</w:t>
      </w:r>
      <w:r>
        <w:rPr>
          <w:w w:val="105"/>
        </w:rPr>
        <w:t> travail</w:t>
      </w:r>
      <w:r>
        <w:rPr>
          <w:w w:val="105"/>
        </w:rPr>
        <w:t> est</w:t>
      </w:r>
      <w:r>
        <w:rPr>
          <w:w w:val="105"/>
        </w:rPr>
        <w:t> d’étudier</w:t>
      </w:r>
      <w:r>
        <w:rPr>
          <w:w w:val="105"/>
        </w:rPr>
        <w:t> les</w:t>
      </w:r>
      <w:r>
        <w:rPr>
          <w:w w:val="105"/>
        </w:rPr>
        <w:t> relations</w:t>
      </w:r>
      <w:r>
        <w:rPr>
          <w:w w:val="105"/>
        </w:rPr>
        <w:t> entre</w:t>
      </w:r>
      <w:r>
        <w:rPr>
          <w:w w:val="105"/>
        </w:rPr>
        <w:t> les</w:t>
      </w:r>
      <w:r>
        <w:rPr>
          <w:w w:val="105"/>
        </w:rPr>
        <w:t> indicateurs</w:t>
      </w:r>
      <w:r>
        <w:rPr>
          <w:w w:val="105"/>
        </w:rPr>
        <w:t> ma- croéconomiques et la dynamique du marché boursier marocain à l’aide de deux méthodes complémentaires</w:t>
      </w:r>
      <w:r>
        <w:rPr>
          <w:spacing w:val="-11"/>
          <w:w w:val="105"/>
        </w:rPr>
        <w:t> </w:t>
      </w:r>
      <w:r>
        <w:rPr>
          <w:w w:val="105"/>
        </w:rPr>
        <w:t>d’analyse</w:t>
      </w:r>
      <w:r>
        <w:rPr>
          <w:spacing w:val="-11"/>
          <w:w w:val="105"/>
        </w:rPr>
        <w:t> </w:t>
      </w:r>
      <w:r>
        <w:rPr>
          <w:w w:val="105"/>
        </w:rPr>
        <w:t>factorielle</w:t>
      </w:r>
      <w:r>
        <w:rPr>
          <w:spacing w:val="-11"/>
          <w:w w:val="105"/>
        </w:rPr>
        <w:t> </w:t>
      </w:r>
      <w:r>
        <w:rPr>
          <w:w w:val="105"/>
        </w:rPr>
        <w:t>multivariée</w:t>
      </w:r>
      <w:r>
        <w:rPr>
          <w:spacing w:val="-11"/>
          <w:w w:val="105"/>
        </w:rPr>
        <w:t> </w:t>
      </w:r>
      <w:r>
        <w:rPr>
          <w:w w:val="105"/>
        </w:rPr>
        <w:t>:</w:t>
      </w:r>
      <w:r>
        <w:rPr>
          <w:spacing w:val="-11"/>
          <w:w w:val="105"/>
        </w:rPr>
        <w:t> </w:t>
      </w:r>
      <w:r>
        <w:rPr>
          <w:w w:val="105"/>
        </w:rPr>
        <w:t>l’Analyse</w:t>
      </w:r>
      <w:r>
        <w:rPr>
          <w:spacing w:val="-11"/>
          <w:w w:val="105"/>
        </w:rPr>
        <w:t> </w:t>
      </w:r>
      <w:r>
        <w:rPr>
          <w:w w:val="105"/>
        </w:rPr>
        <w:t>en</w:t>
      </w:r>
      <w:r>
        <w:rPr>
          <w:spacing w:val="-11"/>
          <w:w w:val="105"/>
        </w:rPr>
        <w:t> </w:t>
      </w:r>
      <w:r>
        <w:rPr>
          <w:w w:val="105"/>
        </w:rPr>
        <w:t>Composantes</w:t>
      </w:r>
      <w:r>
        <w:rPr>
          <w:spacing w:val="-11"/>
          <w:w w:val="105"/>
        </w:rPr>
        <w:t> </w:t>
      </w:r>
      <w:r>
        <w:rPr>
          <w:w w:val="105"/>
        </w:rPr>
        <w:t>Principales (ACP) et l’Analyse des Correspondances Multiples (ACM).</w:t>
      </w:r>
    </w:p>
    <w:p>
      <w:pPr>
        <w:pStyle w:val="BodyText"/>
        <w:spacing w:line="312" w:lineRule="auto"/>
        <w:ind w:left="142" w:right="848" w:firstLine="351"/>
        <w:jc w:val="both"/>
      </w:pPr>
      <w:r>
        <w:rPr>
          <w:w w:val="105"/>
        </w:rPr>
        <w:t>Concrètement, cette analyse vise à identifier les principaux facteurs économiques qui influencent</w:t>
      </w:r>
      <w:r>
        <w:rPr>
          <w:w w:val="105"/>
        </w:rPr>
        <w:t> le</w:t>
      </w:r>
      <w:r>
        <w:rPr>
          <w:w w:val="105"/>
        </w:rPr>
        <w:t> marché</w:t>
      </w:r>
      <w:r>
        <w:rPr>
          <w:w w:val="105"/>
        </w:rPr>
        <w:t> boursier</w:t>
      </w:r>
      <w:r>
        <w:rPr>
          <w:w w:val="105"/>
        </w:rPr>
        <w:t> marocain</w:t>
      </w:r>
      <w:r>
        <w:rPr>
          <w:w w:val="105"/>
        </w:rPr>
        <w:t> et</w:t>
      </w:r>
      <w:r>
        <w:rPr>
          <w:w w:val="105"/>
        </w:rPr>
        <w:t> à</w:t>
      </w:r>
      <w:r>
        <w:rPr>
          <w:w w:val="105"/>
        </w:rPr>
        <w:t> comprendre</w:t>
      </w:r>
      <w:r>
        <w:rPr>
          <w:w w:val="105"/>
        </w:rPr>
        <w:t> comment</w:t>
      </w:r>
      <w:r>
        <w:rPr>
          <w:w w:val="105"/>
        </w:rPr>
        <w:t> différentes</w:t>
      </w:r>
      <w:r>
        <w:rPr>
          <w:w w:val="105"/>
        </w:rPr>
        <w:t> variables macroéconomiques interagissent entre elles. L’ACP permet de détecter les relations clés entre la croissance, l’inflation, la consommation et le rendement du marché, offrant ainsi une</w:t>
      </w:r>
      <w:r>
        <w:rPr>
          <w:w w:val="105"/>
        </w:rPr>
        <w:t> vision</w:t>
      </w:r>
      <w:r>
        <w:rPr>
          <w:w w:val="105"/>
        </w:rPr>
        <w:t> claire</w:t>
      </w:r>
      <w:r>
        <w:rPr>
          <w:w w:val="105"/>
        </w:rPr>
        <w:t> des</w:t>
      </w:r>
      <w:r>
        <w:rPr>
          <w:w w:val="105"/>
        </w:rPr>
        <w:t> leviers</w:t>
      </w:r>
      <w:r>
        <w:rPr>
          <w:w w:val="105"/>
        </w:rPr>
        <w:t> économiques</w:t>
      </w:r>
      <w:r>
        <w:rPr>
          <w:w w:val="105"/>
        </w:rPr>
        <w:t> les</w:t>
      </w:r>
      <w:r>
        <w:rPr>
          <w:w w:val="105"/>
        </w:rPr>
        <w:t> plus</w:t>
      </w:r>
      <w:r>
        <w:rPr>
          <w:w w:val="105"/>
        </w:rPr>
        <w:t> déterminants.</w:t>
      </w:r>
      <w:r>
        <w:rPr>
          <w:w w:val="105"/>
        </w:rPr>
        <w:t> L’ACM</w:t>
      </w:r>
      <w:r>
        <w:rPr>
          <w:w w:val="105"/>
        </w:rPr>
        <w:t> complète</w:t>
      </w:r>
      <w:r>
        <w:rPr>
          <w:w w:val="105"/>
        </w:rPr>
        <w:t> cette analyse</w:t>
      </w:r>
      <w:r>
        <w:rPr>
          <w:spacing w:val="-16"/>
          <w:w w:val="105"/>
        </w:rPr>
        <w:t> </w:t>
      </w:r>
      <w:r>
        <w:rPr>
          <w:w w:val="105"/>
        </w:rPr>
        <w:t>en</w:t>
      </w:r>
      <w:r>
        <w:rPr>
          <w:spacing w:val="-16"/>
          <w:w w:val="105"/>
        </w:rPr>
        <w:t> </w:t>
      </w:r>
      <w:r>
        <w:rPr>
          <w:w w:val="105"/>
        </w:rPr>
        <w:t>mettant</w:t>
      </w:r>
      <w:r>
        <w:rPr>
          <w:spacing w:val="-16"/>
          <w:w w:val="105"/>
        </w:rPr>
        <w:t> </w:t>
      </w:r>
      <w:r>
        <w:rPr>
          <w:w w:val="105"/>
        </w:rPr>
        <w:t>en</w:t>
      </w:r>
      <w:r>
        <w:rPr>
          <w:spacing w:val="-15"/>
          <w:w w:val="105"/>
        </w:rPr>
        <w:t> </w:t>
      </w:r>
      <w:r>
        <w:rPr>
          <w:w w:val="105"/>
        </w:rPr>
        <w:t>évidence</w:t>
      </w:r>
      <w:r>
        <w:rPr>
          <w:spacing w:val="-16"/>
          <w:w w:val="105"/>
        </w:rPr>
        <w:t> </w:t>
      </w:r>
      <w:r>
        <w:rPr>
          <w:w w:val="105"/>
        </w:rPr>
        <w:t>des</w:t>
      </w:r>
      <w:r>
        <w:rPr>
          <w:spacing w:val="-16"/>
          <w:w w:val="105"/>
        </w:rPr>
        <w:t> </w:t>
      </w:r>
      <w:r>
        <w:rPr>
          <w:w w:val="105"/>
        </w:rPr>
        <w:t>profils</w:t>
      </w:r>
      <w:r>
        <w:rPr>
          <w:spacing w:val="-16"/>
          <w:w w:val="105"/>
        </w:rPr>
        <w:t> </w:t>
      </w:r>
      <w:r>
        <w:rPr>
          <w:w w:val="105"/>
        </w:rPr>
        <w:t>typiques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16"/>
          <w:w w:val="105"/>
        </w:rPr>
        <w:t> </w:t>
      </w:r>
      <w:r>
        <w:rPr>
          <w:w w:val="105"/>
        </w:rPr>
        <w:t>périodes</w:t>
      </w:r>
      <w:r>
        <w:rPr>
          <w:spacing w:val="-16"/>
          <w:w w:val="105"/>
        </w:rPr>
        <w:t> </w:t>
      </w:r>
      <w:r>
        <w:rPr>
          <w:w w:val="105"/>
        </w:rPr>
        <w:t>économiques</w:t>
      </w:r>
      <w:r>
        <w:rPr>
          <w:spacing w:val="-16"/>
          <w:w w:val="105"/>
        </w:rPr>
        <w:t> </w:t>
      </w:r>
      <w:r>
        <w:rPr>
          <w:w w:val="105"/>
        </w:rPr>
        <w:t>et</w:t>
      </w:r>
      <w:r>
        <w:rPr>
          <w:spacing w:val="-15"/>
          <w:w w:val="105"/>
        </w:rPr>
        <w:t> </w:t>
      </w:r>
      <w:r>
        <w:rPr>
          <w:w w:val="105"/>
        </w:rPr>
        <w:t>financières, ce</w:t>
      </w:r>
      <w:r>
        <w:rPr>
          <w:spacing w:val="-10"/>
          <w:w w:val="105"/>
        </w:rPr>
        <w:t> </w:t>
      </w:r>
      <w:r>
        <w:rPr>
          <w:w w:val="105"/>
        </w:rPr>
        <w:t>qui</w:t>
      </w:r>
      <w:r>
        <w:rPr>
          <w:spacing w:val="-10"/>
          <w:w w:val="105"/>
        </w:rPr>
        <w:t> </w:t>
      </w:r>
      <w:r>
        <w:rPr>
          <w:w w:val="105"/>
        </w:rPr>
        <w:t>aide</w:t>
      </w:r>
      <w:r>
        <w:rPr>
          <w:spacing w:val="-10"/>
          <w:w w:val="105"/>
        </w:rPr>
        <w:t> </w:t>
      </w:r>
      <w:r>
        <w:rPr>
          <w:w w:val="105"/>
        </w:rPr>
        <w:t>à</w:t>
      </w:r>
      <w:r>
        <w:rPr>
          <w:spacing w:val="-10"/>
          <w:w w:val="105"/>
        </w:rPr>
        <w:t> </w:t>
      </w:r>
      <w:r>
        <w:rPr>
          <w:w w:val="105"/>
        </w:rPr>
        <w:t>anticiper</w:t>
      </w:r>
      <w:r>
        <w:rPr>
          <w:spacing w:val="-10"/>
          <w:w w:val="105"/>
        </w:rPr>
        <w:t> </w:t>
      </w:r>
      <w:r>
        <w:rPr>
          <w:w w:val="105"/>
        </w:rPr>
        <w:t>les</w:t>
      </w:r>
      <w:r>
        <w:rPr>
          <w:spacing w:val="-10"/>
          <w:w w:val="105"/>
        </w:rPr>
        <w:t> </w:t>
      </w:r>
      <w:r>
        <w:rPr>
          <w:w w:val="105"/>
        </w:rPr>
        <w:t>comportements</w:t>
      </w:r>
      <w:r>
        <w:rPr>
          <w:spacing w:val="-10"/>
          <w:w w:val="105"/>
        </w:rPr>
        <w:t> </w:t>
      </w:r>
      <w:r>
        <w:rPr>
          <w:w w:val="105"/>
        </w:rPr>
        <w:t>du</w:t>
      </w:r>
      <w:r>
        <w:rPr>
          <w:spacing w:val="-10"/>
          <w:w w:val="105"/>
        </w:rPr>
        <w:t> </w:t>
      </w:r>
      <w:r>
        <w:rPr>
          <w:w w:val="105"/>
        </w:rPr>
        <w:t>marché</w:t>
      </w:r>
      <w:r>
        <w:rPr>
          <w:spacing w:val="-10"/>
          <w:w w:val="105"/>
        </w:rPr>
        <w:t> </w:t>
      </w:r>
      <w:r>
        <w:rPr>
          <w:w w:val="105"/>
        </w:rPr>
        <w:t>et</w:t>
      </w:r>
      <w:r>
        <w:rPr>
          <w:spacing w:val="-10"/>
          <w:w w:val="105"/>
        </w:rPr>
        <w:t> </w:t>
      </w:r>
      <w:r>
        <w:rPr>
          <w:w w:val="105"/>
        </w:rPr>
        <w:t>à</w:t>
      </w:r>
      <w:r>
        <w:rPr>
          <w:spacing w:val="-10"/>
          <w:w w:val="105"/>
        </w:rPr>
        <w:t> </w:t>
      </w:r>
      <w:r>
        <w:rPr>
          <w:w w:val="105"/>
        </w:rPr>
        <w:t>orienter</w:t>
      </w:r>
      <w:r>
        <w:rPr>
          <w:spacing w:val="-10"/>
          <w:w w:val="105"/>
        </w:rPr>
        <w:t> </w:t>
      </w:r>
      <w:r>
        <w:rPr>
          <w:w w:val="105"/>
        </w:rPr>
        <w:t>les</w:t>
      </w:r>
      <w:r>
        <w:rPr>
          <w:spacing w:val="-10"/>
          <w:w w:val="105"/>
        </w:rPr>
        <w:t> </w:t>
      </w:r>
      <w:r>
        <w:rPr>
          <w:w w:val="105"/>
        </w:rPr>
        <w:t>décisions</w:t>
      </w:r>
      <w:r>
        <w:rPr>
          <w:spacing w:val="-10"/>
          <w:w w:val="105"/>
        </w:rPr>
        <w:t> </w:t>
      </w:r>
      <w:r>
        <w:rPr>
          <w:w w:val="105"/>
        </w:rPr>
        <w:t>stratégiques des investisseurs et des décideurs économiques.</w:t>
      </w:r>
    </w:p>
    <w:p>
      <w:pPr>
        <w:pStyle w:val="BodyText"/>
        <w:spacing w:before="166"/>
      </w:pPr>
    </w:p>
    <w:p>
      <w:pPr>
        <w:pStyle w:val="Heading1"/>
        <w:ind w:firstLine="0"/>
      </w:pPr>
      <w:r>
        <w:rPr>
          <w:color w:val="003B78"/>
          <w:spacing w:val="-2"/>
        </w:rPr>
        <w:t>Problématique</w:t>
      </w:r>
    </w:p>
    <w:p>
      <w:pPr>
        <w:spacing w:line="312" w:lineRule="auto" w:before="295"/>
        <w:ind w:left="142" w:right="847" w:firstLine="351"/>
        <w:jc w:val="both"/>
        <w:rPr>
          <w:sz w:val="24"/>
        </w:rPr>
      </w:pPr>
      <w:r>
        <w:rPr>
          <w:sz w:val="24"/>
        </w:rPr>
        <w:t>Dans</w:t>
      </w:r>
      <w:r>
        <w:rPr>
          <w:spacing w:val="40"/>
          <w:sz w:val="24"/>
        </w:rPr>
        <w:t> </w:t>
      </w:r>
      <w:r>
        <w:rPr>
          <w:sz w:val="24"/>
        </w:rPr>
        <w:t>quelle</w:t>
      </w:r>
      <w:r>
        <w:rPr>
          <w:spacing w:val="40"/>
          <w:sz w:val="24"/>
        </w:rPr>
        <w:t> </w:t>
      </w:r>
      <w:r>
        <w:rPr>
          <w:sz w:val="24"/>
        </w:rPr>
        <w:t>mesure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indicateurs</w:t>
      </w:r>
      <w:r>
        <w:rPr>
          <w:spacing w:val="40"/>
          <w:sz w:val="24"/>
        </w:rPr>
        <w:t> </w:t>
      </w:r>
      <w:r>
        <w:rPr>
          <w:sz w:val="24"/>
        </w:rPr>
        <w:t>macroéconomiques</w:t>
      </w:r>
      <w:r>
        <w:rPr>
          <w:spacing w:val="40"/>
          <w:sz w:val="24"/>
        </w:rPr>
        <w:t> </w:t>
      </w:r>
      <w:r>
        <w:rPr>
          <w:sz w:val="24"/>
        </w:rPr>
        <w:t>influencent-ils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dynamique</w:t>
      </w:r>
      <w:r>
        <w:rPr>
          <w:spacing w:val="80"/>
          <w:w w:val="150"/>
          <w:sz w:val="24"/>
        </w:rPr>
        <w:t>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marché</w:t>
      </w:r>
      <w:r>
        <w:rPr>
          <w:spacing w:val="40"/>
          <w:sz w:val="24"/>
        </w:rPr>
        <w:t> </w:t>
      </w:r>
      <w:r>
        <w:rPr>
          <w:sz w:val="24"/>
        </w:rPr>
        <w:t>boursier</w:t>
      </w:r>
      <w:r>
        <w:rPr>
          <w:spacing w:val="40"/>
          <w:sz w:val="24"/>
        </w:rPr>
        <w:t> </w:t>
      </w:r>
      <w:r>
        <w:rPr>
          <w:sz w:val="24"/>
        </w:rPr>
        <w:t>marocain,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comment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méthodes</w:t>
      </w:r>
      <w:r>
        <w:rPr>
          <w:spacing w:val="40"/>
          <w:sz w:val="24"/>
        </w:rPr>
        <w:t> </w:t>
      </w:r>
      <w:r>
        <w:rPr>
          <w:sz w:val="24"/>
        </w:rPr>
        <w:t>d’analyse</w:t>
      </w:r>
      <w:r>
        <w:rPr>
          <w:spacing w:val="40"/>
          <w:sz w:val="24"/>
        </w:rPr>
        <w:t> </w:t>
      </w:r>
      <w:r>
        <w:rPr>
          <w:sz w:val="24"/>
        </w:rPr>
        <w:t>factorielle</w:t>
      </w:r>
      <w:r>
        <w:rPr>
          <w:spacing w:val="40"/>
          <w:sz w:val="24"/>
        </w:rPr>
        <w:t> </w:t>
      </w:r>
      <w:r>
        <w:rPr>
          <w:sz w:val="24"/>
        </w:rPr>
        <w:t>multiva- riée, notamment </w:t>
      </w:r>
      <w:r>
        <w:rPr>
          <w:rFonts w:ascii="Georgia" w:hAnsi="Georgia"/>
          <w:b/>
          <w:sz w:val="24"/>
        </w:rPr>
        <w:t>l’Analyse en Composantes Principales (ACP) </w:t>
      </w:r>
      <w:r>
        <w:rPr>
          <w:sz w:val="24"/>
        </w:rPr>
        <w:t>et </w:t>
      </w:r>
      <w:r>
        <w:rPr>
          <w:rFonts w:ascii="Georgia" w:hAnsi="Georgia"/>
          <w:b/>
          <w:sz w:val="24"/>
        </w:rPr>
        <w:t>l’Analyse des Correspondances Multiples (ACM)</w:t>
      </w:r>
      <w:r>
        <w:rPr>
          <w:sz w:val="24"/>
        </w:rPr>
        <w:t>, permettent-elles d’identifier les facteurs déter- minants ainsi que les profils économiques associés aux différentes phases d’évolution du marché</w:t>
      </w:r>
      <w:r>
        <w:rPr>
          <w:spacing w:val="-21"/>
          <w:sz w:val="24"/>
        </w:rPr>
        <w:t> </w:t>
      </w:r>
      <w:r>
        <w:rPr>
          <w:sz w:val="24"/>
        </w:rPr>
        <w:t>?</w:t>
      </w:r>
    </w:p>
    <w:p>
      <w:pPr>
        <w:spacing w:after="0" w:line="312" w:lineRule="auto"/>
        <w:jc w:val="both"/>
        <w:rPr>
          <w:sz w:val="24"/>
        </w:rPr>
        <w:sectPr>
          <w:headerReference w:type="default" r:id="rId6"/>
          <w:pgSz w:w="11910" w:h="16840"/>
          <w:pgMar w:header="657" w:footer="0" w:top="1340" w:bottom="280" w:left="1275" w:right="566"/>
        </w:sectPr>
      </w:pPr>
    </w:p>
    <w:p>
      <w:pPr>
        <w:pStyle w:val="Heading1"/>
        <w:numPr>
          <w:ilvl w:val="0"/>
          <w:numId w:val="1"/>
        </w:numPr>
        <w:tabs>
          <w:tab w:pos="699" w:val="left" w:leader="none"/>
        </w:tabs>
        <w:spacing w:line="240" w:lineRule="auto" w:before="134" w:after="0"/>
        <w:ind w:left="699" w:right="0" w:hanging="557"/>
        <w:jc w:val="left"/>
      </w:pPr>
      <w:bookmarkStart w:name="Exploration des données" w:id="1"/>
      <w:bookmarkEnd w:id="1"/>
      <w:r>
        <w:rPr>
          <w:b w:val="0"/>
        </w:rPr>
      </w:r>
      <w:r>
        <w:rPr>
          <w:color w:val="FF0000"/>
        </w:rPr>
        <w:t>Exploration</w:t>
      </w:r>
      <w:r>
        <w:rPr>
          <w:color w:val="FF0000"/>
          <w:spacing w:val="63"/>
        </w:rPr>
        <w:t> </w:t>
      </w:r>
      <w:r>
        <w:rPr>
          <w:color w:val="FF0000"/>
        </w:rPr>
        <w:t>des</w:t>
      </w:r>
      <w:r>
        <w:rPr>
          <w:color w:val="FF0000"/>
          <w:spacing w:val="64"/>
        </w:rPr>
        <w:t> </w:t>
      </w:r>
      <w:r>
        <w:rPr>
          <w:color w:val="FF0000"/>
          <w:spacing w:val="-2"/>
        </w:rPr>
        <w:t>données</w:t>
      </w:r>
    </w:p>
    <w:p>
      <w:pPr>
        <w:pStyle w:val="BodyText"/>
        <w:rPr>
          <w:rFonts w:ascii="Cambria"/>
          <w:b/>
          <w:sz w:val="34"/>
        </w:rPr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8"/>
        <w:jc w:val="left"/>
      </w:pPr>
      <w:bookmarkStart w:name="Description des Données du modèle" w:id="2"/>
      <w:bookmarkEnd w:id="2"/>
      <w:r>
        <w:rPr>
          <w:b w:val="0"/>
        </w:rPr>
      </w:r>
      <w:r>
        <w:rPr>
          <w:color w:val="000066"/>
          <w:spacing w:val="-8"/>
        </w:rPr>
        <w:t>Description</w:t>
      </w:r>
      <w:r>
        <w:rPr>
          <w:color w:val="000066"/>
          <w:spacing w:val="3"/>
        </w:rPr>
        <w:t> </w:t>
      </w:r>
      <w:r>
        <w:rPr>
          <w:color w:val="000066"/>
          <w:spacing w:val="-8"/>
        </w:rPr>
        <w:t>des</w:t>
      </w:r>
      <w:r>
        <w:rPr>
          <w:color w:val="000066"/>
          <w:spacing w:val="4"/>
        </w:rPr>
        <w:t> </w:t>
      </w:r>
      <w:r>
        <w:rPr>
          <w:color w:val="000066"/>
          <w:spacing w:val="-8"/>
        </w:rPr>
        <w:t>Données</w:t>
      </w:r>
      <w:r>
        <w:rPr>
          <w:color w:val="000066"/>
          <w:spacing w:val="4"/>
        </w:rPr>
        <w:t> </w:t>
      </w:r>
      <w:r>
        <w:rPr>
          <w:color w:val="000066"/>
          <w:spacing w:val="-8"/>
        </w:rPr>
        <w:t>du</w:t>
      </w:r>
      <w:r>
        <w:rPr>
          <w:color w:val="000066"/>
          <w:spacing w:val="4"/>
        </w:rPr>
        <w:t> </w:t>
      </w:r>
      <w:r>
        <w:rPr>
          <w:color w:val="000066"/>
          <w:spacing w:val="-8"/>
        </w:rPr>
        <w:t>modèle</w:t>
      </w:r>
    </w:p>
    <w:p>
      <w:pPr>
        <w:pStyle w:val="BodyText"/>
        <w:spacing w:line="304" w:lineRule="auto" w:before="223"/>
        <w:ind w:left="142" w:right="793" w:firstLine="351"/>
        <w:jc w:val="both"/>
      </w:pPr>
      <w:r>
        <w:rPr/>
        <w:t>Le jeu de données utilisé comprend des observations annuelles pour la période </w:t>
      </w:r>
      <w:r>
        <w:rPr>
          <w:rFonts w:ascii="Calibri" w:hAnsi="Calibri"/>
        </w:rPr>
        <w:t>2002</w:t>
      </w:r>
      <w:r>
        <w:rPr/>
        <w:t>-</w:t>
      </w:r>
      <w:r>
        <w:rPr>
          <w:rFonts w:ascii="Calibri" w:hAnsi="Calibri"/>
        </w:rPr>
        <w:t>2025 </w:t>
      </w:r>
      <w:r>
        <w:rPr/>
        <w:t>et</w:t>
      </w:r>
      <w:r>
        <w:rPr>
          <w:spacing w:val="40"/>
        </w:rPr>
        <w:t> </w:t>
      </w:r>
      <w:r>
        <w:rPr/>
        <w:t>rassemble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indicateurs</w:t>
      </w:r>
      <w:r>
        <w:rPr>
          <w:spacing w:val="40"/>
        </w:rPr>
        <w:t> </w:t>
      </w:r>
      <w:r>
        <w:rPr/>
        <w:t>macroéconomiques</w:t>
      </w:r>
      <w:r>
        <w:rPr>
          <w:spacing w:val="40"/>
        </w:rPr>
        <w:t> </w:t>
      </w:r>
      <w:r>
        <w:rPr/>
        <w:t>ainsi</w:t>
      </w:r>
      <w:r>
        <w:rPr>
          <w:spacing w:val="40"/>
        </w:rPr>
        <w:t> </w:t>
      </w:r>
      <w:r>
        <w:rPr/>
        <w:t>que</w:t>
      </w:r>
      <w:r>
        <w:rPr>
          <w:spacing w:val="40"/>
        </w:rPr>
        <w:t> </w:t>
      </w:r>
      <w:r>
        <w:rPr/>
        <w:t>des</w:t>
      </w:r>
      <w:r>
        <w:rPr>
          <w:spacing w:val="40"/>
        </w:rPr>
        <w:t> </w:t>
      </w:r>
      <w:r>
        <w:rPr/>
        <w:t>variables</w:t>
      </w:r>
      <w:r>
        <w:rPr>
          <w:spacing w:val="40"/>
        </w:rPr>
        <w:t> </w:t>
      </w:r>
      <w:r>
        <w:rPr/>
        <w:t>décrivant</w:t>
      </w:r>
      <w:r>
        <w:rPr>
          <w:spacing w:val="40"/>
        </w:rPr>
        <w:t> </w:t>
      </w:r>
      <w:r>
        <w:rPr/>
        <w:t>l’évolu- tion</w:t>
      </w:r>
      <w:r>
        <w:rPr>
          <w:spacing w:val="40"/>
        </w:rPr>
        <w:t> </w:t>
      </w:r>
      <w:r>
        <w:rPr/>
        <w:t>du</w:t>
      </w:r>
      <w:r>
        <w:rPr>
          <w:spacing w:val="40"/>
        </w:rPr>
        <w:t> </w:t>
      </w:r>
      <w:r>
        <w:rPr/>
        <w:t>marché</w:t>
      </w:r>
      <w:r>
        <w:rPr>
          <w:spacing w:val="40"/>
        </w:rPr>
        <w:t> </w:t>
      </w:r>
      <w:r>
        <w:rPr/>
        <w:t>boursier</w:t>
      </w:r>
      <w:r>
        <w:rPr>
          <w:spacing w:val="40"/>
        </w:rPr>
        <w:t> </w:t>
      </w:r>
      <w:r>
        <w:rPr/>
        <w:t>marocain.</w:t>
      </w:r>
      <w:r>
        <w:rPr>
          <w:spacing w:val="40"/>
        </w:rPr>
        <w:t> </w:t>
      </w:r>
      <w:r>
        <w:rPr/>
        <w:t>Ces</w:t>
      </w:r>
      <w:r>
        <w:rPr>
          <w:spacing w:val="40"/>
        </w:rPr>
        <w:t> </w:t>
      </w:r>
      <w:r>
        <w:rPr/>
        <w:t>variables</w:t>
      </w:r>
      <w:r>
        <w:rPr>
          <w:spacing w:val="40"/>
        </w:rPr>
        <w:t> </w:t>
      </w:r>
      <w:r>
        <w:rPr/>
        <w:t>sont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nature</w:t>
      </w:r>
      <w:r>
        <w:rPr>
          <w:spacing w:val="40"/>
        </w:rPr>
        <w:t> </w:t>
      </w:r>
      <w:r>
        <w:rPr/>
        <w:t>différente</w:t>
      </w:r>
      <w:r>
        <w:rPr>
          <w:spacing w:val="40"/>
        </w:rPr>
        <w:t> 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  <w:tab w:pos="727" w:val="left" w:leader="none"/>
        </w:tabs>
        <w:spacing w:line="312" w:lineRule="auto" w:before="89" w:after="0"/>
        <w:ind w:left="727" w:right="850" w:hanging="235"/>
        <w:jc w:val="both"/>
        <w:rPr>
          <w:sz w:val="24"/>
        </w:rPr>
      </w:pPr>
      <w:r>
        <w:rPr>
          <w:spacing w:val="-2"/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rFonts w:ascii="Georgia" w:hAnsi="Georgia"/>
          <w:b/>
          <w:spacing w:val="-2"/>
          <w:w w:val="105"/>
          <w:sz w:val="24"/>
        </w:rPr>
        <w:t>variables</w:t>
      </w:r>
      <w:r>
        <w:rPr>
          <w:rFonts w:ascii="Georgia" w:hAnsi="Georgia"/>
          <w:b/>
          <w:spacing w:val="-2"/>
          <w:w w:val="105"/>
          <w:sz w:val="24"/>
        </w:rPr>
        <w:t> quantitatives</w:t>
      </w:r>
      <w:r>
        <w:rPr>
          <w:rFonts w:ascii="Georgia" w:hAnsi="Georgia"/>
          <w:b/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sont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mobilisées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dans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le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cadre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l’Analyse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en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Com- </w:t>
      </w:r>
      <w:r>
        <w:rPr>
          <w:w w:val="105"/>
          <w:sz w:val="24"/>
        </w:rPr>
        <w:t>posantes Principales (ACP). Les variables continues retenues pour l’</w:t>
      </w:r>
      <w:r>
        <w:rPr>
          <w:rFonts w:ascii="Georgia" w:hAnsi="Georgia"/>
          <w:b/>
          <w:w w:val="105"/>
          <w:sz w:val="24"/>
        </w:rPr>
        <w:t>ACP </w:t>
      </w:r>
      <w:r>
        <w:rPr>
          <w:w w:val="105"/>
          <w:sz w:val="24"/>
        </w:rPr>
        <w:t>sont :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312" w:lineRule="auto" w:before="81" w:after="0"/>
        <w:ind w:left="1242" w:right="849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Moroccan All Shares (MASI) </w:t>
      </w:r>
      <w:r>
        <w:rPr>
          <w:sz w:val="24"/>
        </w:rPr>
        <w:t>(MASI_RA%) : rendement annuel de l’in- dice boursier MASI, reflétant la performance globale du marché financier ma- </w:t>
      </w:r>
      <w:r>
        <w:rPr>
          <w:spacing w:val="-2"/>
          <w:sz w:val="24"/>
        </w:rPr>
        <w:t>rocain.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312" w:lineRule="auto" w:before="40" w:after="0"/>
        <w:ind w:left="1242" w:right="849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PIB_croissance_annuelle_% </w:t>
      </w:r>
      <w:r>
        <w:rPr>
          <w:sz w:val="24"/>
        </w:rPr>
        <w:t>(PIB_CA%) : croissance annuelle du pro- duit</w:t>
      </w:r>
      <w:r>
        <w:rPr>
          <w:spacing w:val="40"/>
          <w:sz w:val="24"/>
        </w:rPr>
        <w:t> </w:t>
      </w:r>
      <w:r>
        <w:rPr>
          <w:sz w:val="24"/>
        </w:rPr>
        <w:t>intérieur</w:t>
      </w:r>
      <w:r>
        <w:rPr>
          <w:spacing w:val="40"/>
          <w:sz w:val="24"/>
        </w:rPr>
        <w:t> </w:t>
      </w:r>
      <w:r>
        <w:rPr>
          <w:sz w:val="24"/>
        </w:rPr>
        <w:t>brut</w:t>
      </w:r>
      <w:r>
        <w:rPr>
          <w:spacing w:val="40"/>
          <w:sz w:val="24"/>
        </w:rPr>
        <w:t> </w:t>
      </w:r>
      <w:r>
        <w:rPr>
          <w:sz w:val="24"/>
        </w:rPr>
        <w:t>réel,</w:t>
      </w:r>
      <w:r>
        <w:rPr>
          <w:spacing w:val="40"/>
          <w:sz w:val="24"/>
        </w:rPr>
        <w:t> </w:t>
      </w:r>
      <w:r>
        <w:rPr>
          <w:sz w:val="24"/>
        </w:rPr>
        <w:t>mesurant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performance</w:t>
      </w:r>
      <w:r>
        <w:rPr>
          <w:spacing w:val="40"/>
          <w:sz w:val="24"/>
        </w:rPr>
        <w:t> </w:t>
      </w:r>
      <w:r>
        <w:rPr>
          <w:sz w:val="24"/>
        </w:rPr>
        <w:t>économique</w:t>
      </w:r>
      <w:r>
        <w:rPr>
          <w:spacing w:val="40"/>
          <w:sz w:val="24"/>
        </w:rPr>
        <w:t> </w:t>
      </w:r>
      <w:r>
        <w:rPr>
          <w:sz w:val="24"/>
        </w:rPr>
        <w:t>globale.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312" w:lineRule="auto" w:before="40" w:after="0"/>
        <w:ind w:left="1242" w:right="819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Inflation_annuelle_% </w:t>
      </w:r>
      <w:r>
        <w:rPr>
          <w:sz w:val="24"/>
        </w:rPr>
        <w:t>(INF_A%) : taux d’inflation annuel mesuré par l’évo- </w:t>
      </w:r>
      <w:r>
        <w:rPr>
          <w:w w:val="105"/>
          <w:sz w:val="24"/>
        </w:rPr>
        <w:t>lution des prix à la consommation.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312" w:lineRule="auto" w:before="40" w:after="0"/>
        <w:ind w:left="1242" w:right="850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Taux_interet_moyen_% </w:t>
      </w:r>
      <w:r>
        <w:rPr>
          <w:sz w:val="24"/>
        </w:rPr>
        <w:t>(TI%) : taux d’intérêt moyen, indicateur du coût</w:t>
      </w:r>
      <w:r>
        <w:rPr>
          <w:spacing w:val="40"/>
          <w:sz w:val="24"/>
        </w:rPr>
        <w:t>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crédit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politique</w:t>
      </w:r>
      <w:r>
        <w:rPr>
          <w:spacing w:val="40"/>
          <w:sz w:val="24"/>
        </w:rPr>
        <w:t> </w:t>
      </w:r>
      <w:r>
        <w:rPr>
          <w:sz w:val="24"/>
        </w:rPr>
        <w:t>monétaire.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312" w:lineRule="auto" w:before="40" w:after="0"/>
        <w:ind w:left="1242" w:right="849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Taux_chomage_% </w:t>
      </w:r>
      <w:r>
        <w:rPr>
          <w:sz w:val="24"/>
        </w:rPr>
        <w:t>(CH%) : taux de chômage, reflétant la situation du mar- ché du travail.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312" w:lineRule="auto" w:before="40" w:after="0"/>
        <w:ind w:left="1242" w:right="851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Masse_monetaire_var_annuelle_%</w:t>
      </w:r>
      <w:r>
        <w:rPr>
          <w:rFonts w:ascii="Georgia" w:hAnsi="Georgia"/>
          <w:b/>
          <w:spacing w:val="-1"/>
          <w:sz w:val="24"/>
        </w:rPr>
        <w:t> </w:t>
      </w:r>
      <w:r>
        <w:rPr>
          <w:sz w:val="24"/>
        </w:rPr>
        <w:t>(MM_VA%) : variation annuelle de la</w:t>
      </w:r>
      <w:r>
        <w:rPr>
          <w:spacing w:val="40"/>
          <w:sz w:val="24"/>
        </w:rPr>
        <w:t> </w:t>
      </w:r>
      <w:r>
        <w:rPr>
          <w:sz w:val="24"/>
        </w:rPr>
        <w:t>masse</w:t>
      </w:r>
      <w:r>
        <w:rPr>
          <w:spacing w:val="40"/>
          <w:sz w:val="24"/>
        </w:rPr>
        <w:t> </w:t>
      </w:r>
      <w:r>
        <w:rPr>
          <w:sz w:val="24"/>
        </w:rPr>
        <w:t>monétaire,</w:t>
      </w:r>
      <w:r>
        <w:rPr>
          <w:spacing w:val="40"/>
          <w:sz w:val="24"/>
        </w:rPr>
        <w:t> </w:t>
      </w:r>
      <w:r>
        <w:rPr>
          <w:sz w:val="24"/>
        </w:rPr>
        <w:t>représentant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conditions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liquidité.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312" w:lineRule="auto" w:before="40" w:after="0"/>
        <w:ind w:left="1242" w:right="849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Taux_change_var_annuelle_% </w:t>
      </w:r>
      <w:r>
        <w:rPr>
          <w:sz w:val="24"/>
        </w:rPr>
        <w:t>(TC%) : la variance de change annuelle, indiquant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position</w:t>
      </w:r>
      <w:r>
        <w:rPr>
          <w:spacing w:val="40"/>
          <w:sz w:val="24"/>
        </w:rPr>
        <w:t> </w:t>
      </w:r>
      <w:r>
        <w:rPr>
          <w:sz w:val="24"/>
        </w:rPr>
        <w:t>extérieure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l’économie.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312" w:lineRule="auto" w:before="40" w:after="0"/>
        <w:ind w:left="1242" w:right="851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Depenses_conso_menages_var_annuelle_%</w:t>
      </w:r>
      <w:r>
        <w:rPr>
          <w:rFonts w:ascii="Georgia" w:hAnsi="Georgia"/>
          <w:b/>
          <w:spacing w:val="-16"/>
          <w:sz w:val="24"/>
        </w:rPr>
        <w:t> </w:t>
      </w:r>
      <w:r>
        <w:rPr>
          <w:sz w:val="24"/>
        </w:rPr>
        <w:t>(DCM_VA%)</w:t>
      </w:r>
      <w:r>
        <w:rPr>
          <w:spacing w:val="-15"/>
          <w:sz w:val="24"/>
        </w:rPr>
        <w:t> </w:t>
      </w:r>
      <w:r>
        <w:rPr>
          <w:sz w:val="24"/>
        </w:rPr>
        <w:t>:</w:t>
      </w:r>
      <w:r>
        <w:rPr>
          <w:spacing w:val="-15"/>
          <w:sz w:val="24"/>
        </w:rPr>
        <w:t> </w:t>
      </w:r>
      <w:r>
        <w:rPr>
          <w:sz w:val="24"/>
        </w:rPr>
        <w:t>variation annuelle des dépenses de consommation des ménages, traduisant le niveau de demande intérieure.</w:t>
      </w:r>
    </w:p>
    <w:p>
      <w:pPr>
        <w:pStyle w:val="ListParagraph"/>
        <w:numPr>
          <w:ilvl w:val="0"/>
          <w:numId w:val="2"/>
        </w:numPr>
        <w:tabs>
          <w:tab w:pos="725" w:val="left" w:leader="none"/>
          <w:tab w:pos="727" w:val="left" w:leader="none"/>
        </w:tabs>
        <w:spacing w:line="312" w:lineRule="auto" w:before="81" w:after="0"/>
        <w:ind w:left="727" w:right="852" w:hanging="235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-1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variables</w:t>
      </w:r>
      <w:r>
        <w:rPr>
          <w:rFonts w:ascii="Georgia" w:hAnsi="Georgia"/>
          <w:b/>
          <w:spacing w:val="-1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qualitatives</w:t>
      </w:r>
      <w:r>
        <w:rPr>
          <w:w w:val="105"/>
          <w:sz w:val="24"/>
        </w:rPr>
        <w:t>,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obtenues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catégorisation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(notamment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terciles), sont analysées à l’aide de l’Analyse des Correspondances Multiples (ACM).</w:t>
      </w:r>
    </w:p>
    <w:p>
      <w:pPr>
        <w:pStyle w:val="BodyText"/>
        <w:spacing w:line="312" w:lineRule="auto"/>
        <w:ind w:right="849"/>
        <w:jc w:val="right"/>
      </w:pPr>
      <w:r>
        <w:rPr>
          <w:w w:val="105"/>
        </w:rPr>
        <w:t>Afin d’appliquer l’ACM, certaines variables ont été transformées en variables caté- gorielles</w:t>
      </w:r>
      <w:r>
        <w:rPr>
          <w:spacing w:val="-10"/>
          <w:w w:val="105"/>
        </w:rPr>
        <w:t> </w:t>
      </w:r>
      <w:r>
        <w:rPr>
          <w:w w:val="105"/>
        </w:rPr>
        <w:t>(notamment</w:t>
      </w:r>
      <w:r>
        <w:rPr>
          <w:spacing w:val="-11"/>
          <w:w w:val="105"/>
        </w:rPr>
        <w:t> </w:t>
      </w:r>
      <w:r>
        <w:rPr>
          <w:w w:val="105"/>
        </w:rPr>
        <w:t>en</w:t>
      </w:r>
      <w:r>
        <w:rPr>
          <w:spacing w:val="-10"/>
          <w:w w:val="105"/>
        </w:rPr>
        <w:t> </w:t>
      </w:r>
      <w:r>
        <w:rPr>
          <w:w w:val="105"/>
        </w:rPr>
        <w:t>terciles</w:t>
      </w:r>
      <w:r>
        <w:rPr>
          <w:spacing w:val="-10"/>
          <w:w w:val="105"/>
        </w:rPr>
        <w:t> </w:t>
      </w:r>
      <w:r>
        <w:rPr>
          <w:w w:val="105"/>
        </w:rPr>
        <w:t>:</w:t>
      </w:r>
      <w:r>
        <w:rPr>
          <w:spacing w:val="-10"/>
          <w:w w:val="105"/>
        </w:rPr>
        <w:t> </w:t>
      </w:r>
      <w:r>
        <w:rPr>
          <w:w w:val="105"/>
        </w:rPr>
        <w:t>faible,</w:t>
      </w:r>
      <w:r>
        <w:rPr>
          <w:spacing w:val="-10"/>
          <w:w w:val="105"/>
        </w:rPr>
        <w:t> </w:t>
      </w:r>
      <w:r>
        <w:rPr>
          <w:w w:val="105"/>
        </w:rPr>
        <w:t>moyen,</w:t>
      </w:r>
      <w:r>
        <w:rPr>
          <w:spacing w:val="-10"/>
          <w:w w:val="105"/>
        </w:rPr>
        <w:t> </w:t>
      </w:r>
      <w:r>
        <w:rPr>
          <w:w w:val="105"/>
        </w:rPr>
        <w:t>élevé).</w:t>
      </w:r>
      <w:r>
        <w:rPr>
          <w:spacing w:val="-9"/>
          <w:w w:val="105"/>
        </w:rPr>
        <w:t> </w:t>
      </w:r>
      <w:r>
        <w:rPr>
          <w:w w:val="105"/>
        </w:rPr>
        <w:t>Les</w:t>
      </w:r>
      <w:r>
        <w:rPr>
          <w:spacing w:val="-10"/>
          <w:w w:val="105"/>
        </w:rPr>
        <w:t> </w:t>
      </w:r>
      <w:r>
        <w:rPr>
          <w:w w:val="105"/>
        </w:rPr>
        <w:t>variables</w:t>
      </w:r>
      <w:r>
        <w:rPr>
          <w:spacing w:val="-10"/>
          <w:w w:val="105"/>
        </w:rPr>
        <w:t> </w:t>
      </w:r>
      <w:r>
        <w:rPr>
          <w:w w:val="105"/>
        </w:rPr>
        <w:t>retenues</w:t>
      </w:r>
      <w:r>
        <w:rPr>
          <w:spacing w:val="-10"/>
          <w:w w:val="105"/>
        </w:rPr>
        <w:t> </w:t>
      </w:r>
      <w:r>
        <w:rPr>
          <w:w w:val="105"/>
        </w:rPr>
        <w:t>sont</w:t>
      </w:r>
      <w:r>
        <w:rPr>
          <w:spacing w:val="-10"/>
          <w:w w:val="105"/>
        </w:rPr>
        <w:t> :</w:t>
      </w:r>
    </w:p>
    <w:p>
      <w:pPr>
        <w:pStyle w:val="ListParagraph"/>
        <w:numPr>
          <w:ilvl w:val="1"/>
          <w:numId w:val="2"/>
        </w:numPr>
        <w:tabs>
          <w:tab w:pos="351" w:val="left" w:leader="none"/>
        </w:tabs>
        <w:spacing w:line="240" w:lineRule="auto" w:before="81" w:after="0"/>
        <w:ind w:left="351" w:right="849" w:hanging="351"/>
        <w:jc w:val="right"/>
        <w:rPr>
          <w:sz w:val="24"/>
        </w:rPr>
      </w:pPr>
      <w:r>
        <w:rPr>
          <w:rFonts w:ascii="Georgia" w:hAnsi="Georgia"/>
          <w:b/>
          <w:spacing w:val="-2"/>
          <w:w w:val="110"/>
          <w:sz w:val="24"/>
        </w:rPr>
        <w:t>MASI_cat</w:t>
      </w:r>
      <w:r>
        <w:rPr>
          <w:rFonts w:ascii="Georgia" w:hAnsi="Georgia"/>
          <w:b/>
          <w:spacing w:val="61"/>
          <w:w w:val="110"/>
          <w:sz w:val="24"/>
        </w:rPr>
        <w:t> </w:t>
      </w:r>
      <w:r>
        <w:rPr>
          <w:spacing w:val="-2"/>
          <w:w w:val="110"/>
          <w:sz w:val="24"/>
        </w:rPr>
        <w:t>: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catégorisation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du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rendement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annuel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du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MASI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(faible</w:t>
      </w:r>
      <w:r>
        <w:rPr>
          <w:spacing w:val="-6"/>
          <w:w w:val="110"/>
          <w:sz w:val="24"/>
        </w:rPr>
        <w:t> </w:t>
      </w:r>
      <w:r>
        <w:rPr>
          <w:spacing w:val="-2"/>
          <w:w w:val="125"/>
          <w:sz w:val="24"/>
        </w:rPr>
        <w:t>/</w:t>
      </w:r>
      <w:r>
        <w:rPr>
          <w:spacing w:val="-15"/>
          <w:w w:val="125"/>
          <w:sz w:val="24"/>
        </w:rPr>
        <w:t> </w:t>
      </w:r>
      <w:r>
        <w:rPr>
          <w:spacing w:val="-2"/>
          <w:w w:val="110"/>
          <w:sz w:val="24"/>
        </w:rPr>
        <w:t>moyen</w:t>
      </w:r>
    </w:p>
    <w:p>
      <w:pPr>
        <w:pStyle w:val="BodyText"/>
        <w:spacing w:before="81"/>
        <w:ind w:left="1242"/>
      </w:pPr>
      <w:r>
        <w:rPr>
          <w:w w:val="145"/>
        </w:rPr>
        <w:t>/</w:t>
      </w:r>
      <w:r>
        <w:rPr>
          <w:spacing w:val="11"/>
          <w:w w:val="145"/>
        </w:rPr>
        <w:t> </w:t>
      </w:r>
      <w:r>
        <w:rPr>
          <w:spacing w:val="-2"/>
          <w:w w:val="120"/>
        </w:rPr>
        <w:t>élevé).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312" w:lineRule="auto" w:before="124" w:after="0"/>
        <w:ind w:left="1242" w:right="849" w:hanging="352"/>
        <w:jc w:val="left"/>
        <w:rPr>
          <w:sz w:val="24"/>
        </w:rPr>
      </w:pPr>
      <w:r>
        <w:rPr>
          <w:rFonts w:ascii="Georgia" w:hAnsi="Georgia"/>
          <w:b/>
          <w:w w:val="110"/>
          <w:sz w:val="24"/>
        </w:rPr>
        <w:t>PIB_cat</w:t>
      </w:r>
      <w:r>
        <w:rPr>
          <w:rFonts w:ascii="Georgia" w:hAnsi="Georgia"/>
          <w:b/>
          <w:spacing w:val="-15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catégorisation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croissance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annuelle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PIB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(faible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moyen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/ </w:t>
      </w:r>
      <w:r>
        <w:rPr>
          <w:spacing w:val="-2"/>
          <w:w w:val="115"/>
          <w:sz w:val="24"/>
        </w:rPr>
        <w:t>élevé).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312" w:lineRule="auto" w:before="40" w:after="0"/>
        <w:ind w:left="1242" w:right="850" w:hanging="352"/>
        <w:jc w:val="left"/>
        <w:rPr>
          <w:sz w:val="24"/>
        </w:rPr>
      </w:pPr>
      <w:r>
        <w:rPr>
          <w:rFonts w:ascii="Georgia" w:hAnsi="Georgia"/>
          <w:b/>
          <w:w w:val="110"/>
          <w:sz w:val="24"/>
        </w:rPr>
        <w:t>INF_cat</w:t>
      </w:r>
      <w:r>
        <w:rPr>
          <w:rFonts w:ascii="Georgia" w:hAnsi="Georgia"/>
          <w:b/>
          <w:spacing w:val="29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catégorisation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taux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d’inflation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annuel</w:t>
      </w:r>
      <w:r>
        <w:rPr>
          <w:spacing w:val="30"/>
          <w:w w:val="110"/>
          <w:sz w:val="24"/>
        </w:rPr>
        <w:t> </w:t>
      </w:r>
      <w:r>
        <w:rPr>
          <w:w w:val="110"/>
          <w:sz w:val="24"/>
        </w:rPr>
        <w:t>(basse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moyenne</w:t>
      </w:r>
      <w:r>
        <w:rPr>
          <w:spacing w:val="31"/>
          <w:w w:val="110"/>
          <w:sz w:val="24"/>
        </w:rPr>
        <w:t> </w:t>
      </w:r>
      <w:r>
        <w:rPr>
          <w:w w:val="110"/>
          <w:sz w:val="24"/>
        </w:rPr>
        <w:t>/ </w:t>
      </w:r>
      <w:r>
        <w:rPr>
          <w:spacing w:val="-2"/>
          <w:w w:val="115"/>
          <w:sz w:val="24"/>
        </w:rPr>
        <w:t>haute).</w:t>
      </w:r>
    </w:p>
    <w:p>
      <w:pPr>
        <w:pStyle w:val="ListParagraph"/>
        <w:spacing w:after="0" w:line="312" w:lineRule="auto"/>
        <w:jc w:val="left"/>
        <w:rPr>
          <w:sz w:val="24"/>
        </w:rPr>
        <w:sectPr>
          <w:headerReference w:type="default" r:id="rId7"/>
          <w:pgSz w:w="11910" w:h="16840"/>
          <w:pgMar w:header="659" w:footer="0" w:top="1340" w:bottom="280" w:left="1275" w:right="566"/>
          <w:pgNumType w:start="3"/>
        </w:sectPr>
      </w:pP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240" w:lineRule="auto" w:before="91" w:after="0"/>
        <w:ind w:left="1242" w:right="0" w:hanging="351"/>
        <w:jc w:val="left"/>
        <w:rPr>
          <w:sz w:val="24"/>
        </w:rPr>
      </w:pPr>
      <w:r>
        <w:rPr>
          <w:rFonts w:ascii="Georgia" w:hAnsi="Georgia"/>
          <w:b/>
          <w:w w:val="110"/>
          <w:sz w:val="24"/>
        </w:rPr>
        <w:t>CH_cat</w:t>
      </w:r>
      <w:r>
        <w:rPr>
          <w:rFonts w:ascii="Georgia" w:hAnsi="Georgia"/>
          <w:b/>
          <w:spacing w:val="-15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catégorisation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taux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chômage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(faible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moyen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élevé).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240" w:lineRule="auto" w:before="115" w:after="0"/>
        <w:ind w:left="1242" w:right="0" w:hanging="35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Pop_Rurale_cat</w:t>
      </w:r>
      <w:r>
        <w:rPr>
          <w:rFonts w:ascii="Georgia" w:hAnsi="Georgia"/>
          <w:b/>
          <w:spacing w:val="-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catégorisation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rurale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(terciles).</w:t>
      </w:r>
    </w:p>
    <w:p>
      <w:pPr>
        <w:pStyle w:val="ListParagraph"/>
        <w:numPr>
          <w:ilvl w:val="1"/>
          <w:numId w:val="2"/>
        </w:numPr>
        <w:tabs>
          <w:tab w:pos="1242" w:val="left" w:leader="none"/>
        </w:tabs>
        <w:spacing w:line="240" w:lineRule="auto" w:before="115" w:after="0"/>
        <w:ind w:left="1242" w:right="0" w:hanging="351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Pop_Urbaine_cat</w:t>
      </w:r>
      <w:r>
        <w:rPr>
          <w:rFonts w:ascii="Georgia" w:hAnsi="Georgia"/>
          <w:b/>
          <w:spacing w:val="-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catégorisation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urbaine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(terciles).</w:t>
      </w:r>
    </w:p>
    <w:p>
      <w:pPr>
        <w:pStyle w:val="BodyText"/>
        <w:spacing w:line="312" w:lineRule="auto" w:before="140"/>
        <w:ind w:left="727" w:right="847"/>
        <w:jc w:val="both"/>
      </w:pPr>
      <w:r>
        <w:rPr>
          <w:w w:val="105"/>
        </w:rPr>
        <w:t>Cette discrétisation permet d’étudier les associations entre modalités et de mettre</w:t>
      </w:r>
      <w:r>
        <w:rPr>
          <w:spacing w:val="80"/>
          <w:w w:val="105"/>
        </w:rPr>
        <w:t> </w:t>
      </w:r>
      <w:r>
        <w:rPr>
          <w:w w:val="105"/>
        </w:rPr>
        <w:t>en</w:t>
      </w:r>
      <w:r>
        <w:rPr>
          <w:w w:val="105"/>
        </w:rPr>
        <w:t> évidence</w:t>
      </w:r>
      <w:r>
        <w:rPr>
          <w:w w:val="105"/>
        </w:rPr>
        <w:t> des</w:t>
      </w:r>
      <w:r>
        <w:rPr>
          <w:w w:val="105"/>
        </w:rPr>
        <w:t> profils</w:t>
      </w:r>
      <w:r>
        <w:rPr>
          <w:w w:val="105"/>
        </w:rPr>
        <w:t> macroéconomiques</w:t>
      </w:r>
      <w:r>
        <w:rPr>
          <w:w w:val="105"/>
        </w:rPr>
        <w:t> et</w:t>
      </w:r>
      <w:r>
        <w:rPr>
          <w:w w:val="105"/>
        </w:rPr>
        <w:t> démographiques</w:t>
      </w:r>
      <w:r>
        <w:rPr>
          <w:w w:val="105"/>
        </w:rPr>
        <w:t> caractéristiques</w:t>
      </w:r>
      <w:r>
        <w:rPr>
          <w:w w:val="105"/>
        </w:rPr>
        <w:t> </w:t>
      </w:r>
      <w:r>
        <w:rPr>
          <w:w w:val="105"/>
        </w:rPr>
        <w:t>de certaines périodes.</w:t>
      </w:r>
    </w:p>
    <w:p>
      <w:pPr>
        <w:pStyle w:val="BodyText"/>
        <w:spacing w:before="115"/>
      </w:pPr>
    </w:p>
    <w:p>
      <w:pPr>
        <w:pStyle w:val="BodyText"/>
        <w:spacing w:line="312" w:lineRule="auto"/>
        <w:ind w:left="727" w:right="849"/>
        <w:jc w:val="both"/>
      </w:pPr>
      <w:r>
        <w:rPr>
          <w:w w:val="105"/>
        </w:rPr>
        <w:t>Les Figures 1 et 2, au-dessous, présentent respectivement le jeu de données utilisé pour l’ACP (variables quantitatives) et celui préparé pour l’ACM après catégorisa- tion des variables.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899998</wp:posOffset>
            </wp:positionH>
            <wp:positionV relativeFrom="paragraph">
              <wp:posOffset>84718</wp:posOffset>
            </wp:positionV>
            <wp:extent cx="5724143" cy="198729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143" cy="1987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3"/>
        <w:ind w:left="3312"/>
      </w:pPr>
      <w:r>
        <w:rPr>
          <w:rFonts w:ascii="Cambria" w:hAnsi="Cambria"/>
          <w:w w:val="110"/>
        </w:rPr>
        <w:t>F</w:t>
      </w:r>
      <w:r>
        <w:rPr>
          <w:rFonts w:ascii="Cambria" w:hAnsi="Cambria"/>
          <w:smallCaps/>
          <w:w w:val="110"/>
        </w:rPr>
        <w:t>igure</w:t>
      </w:r>
      <w:r>
        <w:rPr>
          <w:rFonts w:ascii="Cambria" w:hAnsi="Cambria"/>
          <w:smallCaps w:val="0"/>
          <w:spacing w:val="47"/>
          <w:w w:val="110"/>
        </w:rPr>
        <w:t> </w:t>
      </w:r>
      <w:r>
        <w:rPr>
          <w:rFonts w:ascii="Cambria" w:hAnsi="Cambria"/>
          <w:smallCaps w:val="0"/>
          <w:w w:val="110"/>
        </w:rPr>
        <w:t>1</w:t>
      </w:r>
      <w:r>
        <w:rPr>
          <w:rFonts w:ascii="Cambria" w:hAnsi="Cambria"/>
          <w:smallCaps w:val="0"/>
          <w:spacing w:val="37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30"/>
          <w:w w:val="110"/>
        </w:rPr>
        <w:t> </w:t>
      </w:r>
      <w:r>
        <w:rPr>
          <w:smallCaps w:val="0"/>
          <w:spacing w:val="-2"/>
          <w:w w:val="110"/>
        </w:rPr>
        <w:t>dataset_ACP</w:t>
      </w: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899998</wp:posOffset>
            </wp:positionH>
            <wp:positionV relativeFrom="paragraph">
              <wp:posOffset>202827</wp:posOffset>
            </wp:positionV>
            <wp:extent cx="5760720" cy="212026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  <w:ind w:left="3284"/>
      </w:pPr>
      <w:r>
        <w:rPr>
          <w:rFonts w:ascii="Cambria" w:hAnsi="Cambria"/>
          <w:w w:val="110"/>
        </w:rPr>
        <w:t>F</w:t>
      </w:r>
      <w:r>
        <w:rPr>
          <w:rFonts w:ascii="Cambria" w:hAnsi="Cambria"/>
          <w:smallCaps/>
          <w:w w:val="110"/>
        </w:rPr>
        <w:t>igure</w:t>
      </w:r>
      <w:r>
        <w:rPr>
          <w:rFonts w:ascii="Cambria" w:hAnsi="Cambria"/>
          <w:smallCaps w:val="0"/>
          <w:spacing w:val="47"/>
          <w:w w:val="110"/>
        </w:rPr>
        <w:t> </w:t>
      </w:r>
      <w:r>
        <w:rPr>
          <w:rFonts w:ascii="Cambria" w:hAnsi="Cambria"/>
          <w:smallCaps w:val="0"/>
          <w:w w:val="110"/>
        </w:rPr>
        <w:t>2</w:t>
      </w:r>
      <w:r>
        <w:rPr>
          <w:rFonts w:ascii="Cambria" w:hAnsi="Cambria"/>
          <w:smallCaps w:val="0"/>
          <w:spacing w:val="37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30"/>
          <w:w w:val="110"/>
        </w:rPr>
        <w:t> </w:t>
      </w:r>
      <w:r>
        <w:rPr>
          <w:smallCaps w:val="0"/>
          <w:spacing w:val="-2"/>
          <w:w w:val="110"/>
        </w:rPr>
        <w:t>dataset_ACM</w:t>
      </w:r>
    </w:p>
    <w:p>
      <w:pPr>
        <w:pStyle w:val="BodyText"/>
      </w:pPr>
    </w:p>
    <w:p>
      <w:pPr>
        <w:pStyle w:val="BodyText"/>
        <w:spacing w:before="29"/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0" w:after="0"/>
        <w:ind w:left="1446" w:right="0" w:hanging="719"/>
        <w:jc w:val="left"/>
      </w:pPr>
      <w:bookmarkStart w:name="Visualisation des données :" w:id="3"/>
      <w:bookmarkEnd w:id="3"/>
      <w:r>
        <w:rPr>
          <w:b w:val="0"/>
        </w:rPr>
      </w:r>
      <w:r>
        <w:rPr>
          <w:color w:val="000066"/>
          <w:w w:val="90"/>
        </w:rPr>
        <w:t>Visualisation</w:t>
      </w:r>
      <w:r>
        <w:rPr>
          <w:color w:val="000066"/>
          <w:spacing w:val="48"/>
        </w:rPr>
        <w:t> </w:t>
      </w:r>
      <w:r>
        <w:rPr>
          <w:color w:val="000066"/>
          <w:w w:val="90"/>
        </w:rPr>
        <w:t>des</w:t>
      </w:r>
      <w:r>
        <w:rPr>
          <w:color w:val="000066"/>
          <w:spacing w:val="49"/>
        </w:rPr>
        <w:t> </w:t>
      </w:r>
      <w:r>
        <w:rPr>
          <w:color w:val="000066"/>
          <w:w w:val="90"/>
        </w:rPr>
        <w:t>données</w:t>
      </w:r>
      <w:r>
        <w:rPr>
          <w:color w:val="000066"/>
          <w:spacing w:val="48"/>
        </w:rPr>
        <w:t> </w:t>
      </w:r>
      <w:r>
        <w:rPr>
          <w:color w:val="000066"/>
          <w:spacing w:val="-10"/>
          <w:w w:val="90"/>
        </w:rPr>
        <w:t>:</w:t>
      </w:r>
    </w:p>
    <w:p>
      <w:pPr>
        <w:pStyle w:val="BodyText"/>
        <w:spacing w:line="312" w:lineRule="auto" w:before="261"/>
        <w:ind w:left="727" w:right="849"/>
        <w:jc w:val="both"/>
      </w:pPr>
      <w:r>
        <w:rPr>
          <w:w w:val="105"/>
        </w:rPr>
        <w:t>Dans</w:t>
      </w:r>
      <w:r>
        <w:rPr>
          <w:spacing w:val="-13"/>
          <w:w w:val="105"/>
        </w:rPr>
        <w:t> </w:t>
      </w:r>
      <w:r>
        <w:rPr>
          <w:w w:val="105"/>
        </w:rPr>
        <w:t>le</w:t>
      </w:r>
      <w:r>
        <w:rPr>
          <w:spacing w:val="-13"/>
          <w:w w:val="105"/>
        </w:rPr>
        <w:t> </w:t>
      </w:r>
      <w:r>
        <w:rPr>
          <w:w w:val="105"/>
        </w:rPr>
        <w:t>cadre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l’analyse</w:t>
      </w:r>
      <w:r>
        <w:rPr>
          <w:spacing w:val="-14"/>
          <w:w w:val="105"/>
        </w:rPr>
        <w:t> </w:t>
      </w:r>
      <w:r>
        <w:rPr>
          <w:w w:val="105"/>
        </w:rPr>
        <w:t>exploratoire</w:t>
      </w:r>
      <w:r>
        <w:rPr>
          <w:spacing w:val="-13"/>
          <w:w w:val="105"/>
        </w:rPr>
        <w:t> </w:t>
      </w:r>
      <w:r>
        <w:rPr>
          <w:w w:val="105"/>
        </w:rPr>
        <w:t>des</w:t>
      </w:r>
      <w:r>
        <w:rPr>
          <w:spacing w:val="-13"/>
          <w:w w:val="105"/>
        </w:rPr>
        <w:t> </w:t>
      </w:r>
      <w:r>
        <w:rPr>
          <w:w w:val="105"/>
        </w:rPr>
        <w:t>données,</w:t>
      </w:r>
      <w:r>
        <w:rPr>
          <w:spacing w:val="-13"/>
          <w:w w:val="105"/>
        </w:rPr>
        <w:t> </w:t>
      </w:r>
      <w:r>
        <w:rPr>
          <w:w w:val="105"/>
        </w:rPr>
        <w:t>les</w:t>
      </w:r>
      <w:r>
        <w:rPr>
          <w:spacing w:val="-13"/>
          <w:w w:val="105"/>
        </w:rPr>
        <w:t> </w:t>
      </w:r>
      <w:r>
        <w:rPr>
          <w:w w:val="105"/>
        </w:rPr>
        <w:t>figures</w:t>
      </w:r>
      <w:r>
        <w:rPr>
          <w:spacing w:val="-13"/>
          <w:w w:val="105"/>
        </w:rPr>
        <w:t> </w:t>
      </w:r>
      <w:r>
        <w:rPr>
          <w:w w:val="105"/>
        </w:rPr>
        <w:t>ci-dessous</w:t>
      </w:r>
      <w:r>
        <w:rPr>
          <w:spacing w:val="-13"/>
          <w:w w:val="105"/>
        </w:rPr>
        <w:t> </w:t>
      </w:r>
      <w:r>
        <w:rPr>
          <w:w w:val="105"/>
        </w:rPr>
        <w:t>présentent l’évolution</w:t>
      </w:r>
      <w:r>
        <w:rPr>
          <w:spacing w:val="-3"/>
          <w:w w:val="105"/>
        </w:rPr>
        <w:t> </w:t>
      </w:r>
      <w:r>
        <w:rPr>
          <w:w w:val="105"/>
        </w:rPr>
        <w:t>temporelle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chaque</w:t>
      </w:r>
      <w:r>
        <w:rPr>
          <w:spacing w:val="-3"/>
          <w:w w:val="105"/>
        </w:rPr>
        <w:t> </w:t>
      </w:r>
      <w:r>
        <w:rPr>
          <w:w w:val="105"/>
        </w:rPr>
        <w:t>variable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période</w:t>
      </w:r>
      <w:r>
        <w:rPr>
          <w:spacing w:val="-3"/>
          <w:w w:val="105"/>
        </w:rPr>
        <w:t> </w:t>
      </w:r>
      <w:r>
        <w:rPr>
          <w:w w:val="105"/>
        </w:rPr>
        <w:t>2002-2025.</w:t>
      </w:r>
      <w:r>
        <w:rPr>
          <w:spacing w:val="-3"/>
          <w:w w:val="105"/>
        </w:rPr>
        <w:t> </w:t>
      </w:r>
      <w:r>
        <w:rPr>
          <w:w w:val="105"/>
        </w:rPr>
        <w:t>Cette</w:t>
      </w:r>
      <w:r>
        <w:rPr>
          <w:spacing w:val="-3"/>
          <w:w w:val="105"/>
        </w:rPr>
        <w:t> </w:t>
      </w:r>
      <w:r>
        <w:rPr>
          <w:w w:val="105"/>
        </w:rPr>
        <w:t>visualisa- tion</w:t>
      </w:r>
      <w:r>
        <w:rPr>
          <w:spacing w:val="22"/>
          <w:w w:val="105"/>
        </w:rPr>
        <w:t> </w:t>
      </w:r>
      <w:r>
        <w:rPr>
          <w:w w:val="105"/>
        </w:rPr>
        <w:t>permet</w:t>
      </w:r>
      <w:r>
        <w:rPr>
          <w:spacing w:val="22"/>
          <w:w w:val="105"/>
        </w:rPr>
        <w:t> </w:t>
      </w:r>
      <w:r>
        <w:rPr>
          <w:w w:val="105"/>
        </w:rPr>
        <w:t>d’indentifier</w:t>
      </w:r>
      <w:r>
        <w:rPr>
          <w:spacing w:val="22"/>
          <w:w w:val="105"/>
        </w:rPr>
        <w:t> </w:t>
      </w:r>
      <w:r>
        <w:rPr>
          <w:w w:val="105"/>
        </w:rPr>
        <w:t>les</w:t>
      </w:r>
      <w:r>
        <w:rPr>
          <w:spacing w:val="22"/>
          <w:w w:val="105"/>
        </w:rPr>
        <w:t> </w:t>
      </w:r>
      <w:r>
        <w:rPr>
          <w:w w:val="105"/>
        </w:rPr>
        <w:t>tendances</w:t>
      </w:r>
      <w:r>
        <w:rPr>
          <w:spacing w:val="22"/>
          <w:w w:val="105"/>
        </w:rPr>
        <w:t> </w:t>
      </w:r>
      <w:r>
        <w:rPr>
          <w:w w:val="105"/>
        </w:rPr>
        <w:t>générales,</w:t>
      </w:r>
      <w:r>
        <w:rPr>
          <w:spacing w:val="22"/>
          <w:w w:val="105"/>
        </w:rPr>
        <w:t> </w:t>
      </w:r>
      <w:r>
        <w:rPr>
          <w:w w:val="105"/>
        </w:rPr>
        <w:t>les</w:t>
      </w:r>
      <w:r>
        <w:rPr>
          <w:spacing w:val="22"/>
          <w:w w:val="105"/>
        </w:rPr>
        <w:t> </w:t>
      </w:r>
      <w:r>
        <w:rPr>
          <w:w w:val="105"/>
        </w:rPr>
        <w:t>phases</w:t>
      </w:r>
      <w:r>
        <w:rPr>
          <w:spacing w:val="22"/>
          <w:w w:val="105"/>
        </w:rPr>
        <w:t> </w:t>
      </w:r>
      <w:r>
        <w:rPr>
          <w:w w:val="105"/>
        </w:rPr>
        <w:t>de</w:t>
      </w:r>
      <w:r>
        <w:rPr>
          <w:spacing w:val="22"/>
          <w:w w:val="105"/>
        </w:rPr>
        <w:t> </w:t>
      </w:r>
      <w:r>
        <w:rPr>
          <w:w w:val="105"/>
        </w:rPr>
        <w:t>crise</w:t>
      </w:r>
      <w:r>
        <w:rPr>
          <w:spacing w:val="22"/>
          <w:w w:val="105"/>
        </w:rPr>
        <w:t> </w:t>
      </w:r>
      <w:r>
        <w:rPr>
          <w:w w:val="105"/>
        </w:rPr>
        <w:t>ainsi</w:t>
      </w:r>
      <w:r>
        <w:rPr>
          <w:spacing w:val="22"/>
          <w:w w:val="105"/>
        </w:rPr>
        <w:t> </w:t>
      </w:r>
      <w:r>
        <w:rPr>
          <w:w w:val="105"/>
        </w:rPr>
        <w:t>que</w:t>
      </w:r>
      <w:r>
        <w:rPr>
          <w:spacing w:val="22"/>
          <w:w w:val="105"/>
        </w:rPr>
        <w:t> </w:t>
      </w:r>
      <w:r>
        <w:rPr>
          <w:w w:val="105"/>
        </w:rPr>
        <w:t>les</w:t>
      </w:r>
    </w:p>
    <w:p>
      <w:pPr>
        <w:pStyle w:val="BodyText"/>
        <w:spacing w:after="0" w:line="312" w:lineRule="auto"/>
        <w:jc w:val="both"/>
        <w:sectPr>
          <w:pgSz w:w="11910" w:h="16840"/>
          <w:pgMar w:header="659" w:footer="0" w:top="1340" w:bottom="280" w:left="1275" w:right="566"/>
        </w:sectPr>
      </w:pPr>
    </w:p>
    <w:p>
      <w:pPr>
        <w:pStyle w:val="BodyText"/>
        <w:spacing w:before="91"/>
        <w:ind w:left="727"/>
      </w:pPr>
      <w:bookmarkStart w:name="Statistiques descriptives de base des va" w:id="4"/>
      <w:bookmarkEnd w:id="4"/>
      <w:r>
        <w:rPr/>
      </w:r>
      <w:r>
        <w:rPr>
          <w:w w:val="105"/>
        </w:rPr>
        <w:t>éventuelles</w:t>
      </w:r>
      <w:r>
        <w:rPr>
          <w:spacing w:val="3"/>
          <w:w w:val="105"/>
        </w:rPr>
        <w:t> </w:t>
      </w:r>
      <w:r>
        <w:rPr>
          <w:w w:val="105"/>
        </w:rPr>
        <w:t>ruptures</w:t>
      </w:r>
      <w:r>
        <w:rPr>
          <w:spacing w:val="3"/>
          <w:w w:val="105"/>
        </w:rPr>
        <w:t> </w:t>
      </w:r>
      <w:r>
        <w:rPr>
          <w:w w:val="105"/>
        </w:rPr>
        <w:t>structurelles</w:t>
      </w:r>
      <w:r>
        <w:rPr>
          <w:spacing w:val="5"/>
          <w:w w:val="105"/>
        </w:rPr>
        <w:t> </w:t>
      </w:r>
      <w:r>
        <w:rPr>
          <w:w w:val="105"/>
        </w:rPr>
        <w:t>(par</w:t>
      </w:r>
      <w:r>
        <w:rPr>
          <w:spacing w:val="3"/>
          <w:w w:val="105"/>
        </w:rPr>
        <w:t> </w:t>
      </w:r>
      <w:r>
        <w:rPr>
          <w:w w:val="105"/>
        </w:rPr>
        <w:t>exemple</w:t>
      </w:r>
      <w:r>
        <w:rPr>
          <w:spacing w:val="3"/>
          <w:w w:val="105"/>
        </w:rPr>
        <w:t> </w:t>
      </w:r>
      <w:r>
        <w:rPr>
          <w:w w:val="105"/>
        </w:rPr>
        <w:t>2008</w:t>
      </w:r>
      <w:r>
        <w:rPr>
          <w:spacing w:val="5"/>
          <w:w w:val="105"/>
        </w:rPr>
        <w:t> </w:t>
      </w:r>
      <w:r>
        <w:rPr>
          <w:w w:val="105"/>
        </w:rPr>
        <w:t>ou</w:t>
      </w:r>
      <w:r>
        <w:rPr>
          <w:spacing w:val="4"/>
          <w:w w:val="105"/>
        </w:rPr>
        <w:t> </w:t>
      </w:r>
      <w:r>
        <w:rPr>
          <w:w w:val="105"/>
        </w:rPr>
        <w:t>la</w:t>
      </w:r>
      <w:r>
        <w:rPr>
          <w:spacing w:val="4"/>
          <w:w w:val="105"/>
        </w:rPr>
        <w:t> </w:t>
      </w:r>
      <w:r>
        <w:rPr>
          <w:w w:val="105"/>
        </w:rPr>
        <w:t>période</w:t>
      </w:r>
      <w:r>
        <w:rPr>
          <w:spacing w:val="3"/>
          <w:w w:val="105"/>
        </w:rPr>
        <w:t> </w:t>
      </w:r>
      <w:r>
        <w:rPr>
          <w:w w:val="105"/>
        </w:rPr>
        <w:t>Covid-</w:t>
      </w:r>
      <w:r>
        <w:rPr>
          <w:spacing w:val="-4"/>
          <w:w w:val="105"/>
        </w:rPr>
        <w:t>19).</w:t>
      </w: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952273</wp:posOffset>
            </wp:positionH>
            <wp:positionV relativeFrom="paragraph">
              <wp:posOffset>255694</wp:posOffset>
            </wp:positionV>
            <wp:extent cx="2554414" cy="1204912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414" cy="120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4120642</wp:posOffset>
            </wp:positionH>
            <wp:positionV relativeFrom="paragraph">
              <wp:posOffset>238566</wp:posOffset>
            </wp:positionV>
            <wp:extent cx="2536888" cy="123558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6888" cy="1235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648" w:val="left" w:leader="none"/>
        </w:tabs>
        <w:spacing w:before="130"/>
        <w:ind w:left="1567" w:right="0" w:firstLine="0"/>
        <w:jc w:val="left"/>
        <w:rPr>
          <w:rFonts w:ascii="Georgia"/>
          <w:sz w:val="22"/>
        </w:rPr>
      </w:pPr>
      <w:r>
        <w:rPr>
          <w:rFonts w:ascii="Georgia"/>
          <w:color w:val="000059"/>
          <w:spacing w:val="-2"/>
          <w:w w:val="105"/>
          <w:sz w:val="22"/>
        </w:rPr>
        <w:t>MASI_RA%</w:t>
      </w:r>
      <w:r>
        <w:rPr>
          <w:rFonts w:ascii="Georgia"/>
          <w:color w:val="000059"/>
          <w:sz w:val="22"/>
        </w:rPr>
        <w:tab/>
      </w:r>
      <w:r>
        <w:rPr>
          <w:rFonts w:ascii="Georgia"/>
          <w:color w:val="000059"/>
          <w:spacing w:val="-2"/>
          <w:w w:val="105"/>
          <w:sz w:val="22"/>
        </w:rPr>
        <w:t>PIB_CA%</w:t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11"/>
        <w:rPr>
          <w:rFonts w:ascii="Georgia"/>
          <w:sz w:val="20"/>
        </w:rPr>
      </w:pP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948079</wp:posOffset>
            </wp:positionH>
            <wp:positionV relativeFrom="paragraph">
              <wp:posOffset>166944</wp:posOffset>
            </wp:positionV>
            <wp:extent cx="2497454" cy="1169860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454" cy="116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4111945</wp:posOffset>
            </wp:positionH>
            <wp:positionV relativeFrom="paragraph">
              <wp:posOffset>169672</wp:posOffset>
            </wp:positionV>
            <wp:extent cx="2506217" cy="1169860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6217" cy="116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879" w:val="left" w:leader="none"/>
        </w:tabs>
        <w:spacing w:before="140"/>
        <w:ind w:left="1817" w:right="0" w:firstLine="0"/>
        <w:jc w:val="left"/>
        <w:rPr>
          <w:rFonts w:ascii="Georgia"/>
          <w:sz w:val="22"/>
        </w:rPr>
      </w:pPr>
      <w:r>
        <w:rPr>
          <w:rFonts w:ascii="Georgia"/>
          <w:color w:val="000059"/>
          <w:spacing w:val="-4"/>
          <w:w w:val="105"/>
          <w:sz w:val="22"/>
        </w:rPr>
        <w:t>INF_%</w:t>
      </w:r>
      <w:r>
        <w:rPr>
          <w:rFonts w:ascii="Georgia"/>
          <w:color w:val="000059"/>
          <w:sz w:val="22"/>
        </w:rPr>
        <w:tab/>
      </w:r>
      <w:r>
        <w:rPr>
          <w:rFonts w:ascii="Georgia"/>
          <w:color w:val="000059"/>
          <w:spacing w:val="-4"/>
          <w:w w:val="105"/>
          <w:sz w:val="22"/>
        </w:rPr>
        <w:t>TI_%</w:t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213"/>
        <w:rPr>
          <w:rFonts w:ascii="Georgia"/>
          <w:sz w:val="20"/>
        </w:rPr>
      </w:pP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948160</wp:posOffset>
            </wp:positionH>
            <wp:positionV relativeFrom="paragraph">
              <wp:posOffset>304977</wp:posOffset>
            </wp:positionV>
            <wp:extent cx="2501836" cy="116986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836" cy="116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4121365</wp:posOffset>
            </wp:positionH>
            <wp:positionV relativeFrom="paragraph">
              <wp:posOffset>295339</wp:posOffset>
            </wp:positionV>
            <wp:extent cx="2529363" cy="119529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363" cy="1195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799" w:val="left" w:leader="none"/>
        </w:tabs>
        <w:spacing w:before="129"/>
        <w:ind w:left="0" w:right="518" w:firstLine="0"/>
        <w:jc w:val="center"/>
        <w:rPr>
          <w:rFonts w:ascii="Georgia"/>
          <w:sz w:val="22"/>
        </w:rPr>
      </w:pPr>
      <w:r>
        <w:rPr>
          <w:rFonts w:ascii="Georgia"/>
          <w:color w:val="000059"/>
          <w:spacing w:val="-4"/>
          <w:w w:val="105"/>
          <w:sz w:val="22"/>
        </w:rPr>
        <w:t>CH_%</w:t>
      </w:r>
      <w:r>
        <w:rPr>
          <w:rFonts w:ascii="Georgia"/>
          <w:color w:val="000059"/>
          <w:sz w:val="22"/>
        </w:rPr>
        <w:tab/>
      </w:r>
      <w:r>
        <w:rPr>
          <w:rFonts w:ascii="Georgia"/>
          <w:color w:val="000059"/>
          <w:spacing w:val="-2"/>
          <w:w w:val="105"/>
          <w:sz w:val="22"/>
        </w:rPr>
        <w:t>MM_VA%</w:t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196"/>
        <w:rPr>
          <w:rFonts w:ascii="Georgia"/>
          <w:sz w:val="20"/>
        </w:rPr>
      </w:pP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939806</wp:posOffset>
            </wp:positionH>
            <wp:positionV relativeFrom="paragraph">
              <wp:posOffset>290033</wp:posOffset>
            </wp:positionV>
            <wp:extent cx="2501836" cy="116986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1836" cy="116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4121548</wp:posOffset>
            </wp:positionH>
            <wp:positionV relativeFrom="paragraph">
              <wp:posOffset>284131</wp:posOffset>
            </wp:positionV>
            <wp:extent cx="2529363" cy="119529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9363" cy="1195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736" w:val="left" w:leader="none"/>
        </w:tabs>
        <w:spacing w:before="129"/>
        <w:ind w:left="1701" w:right="0" w:firstLine="0"/>
        <w:jc w:val="left"/>
        <w:rPr>
          <w:rFonts w:ascii="Georgia"/>
          <w:sz w:val="22"/>
        </w:rPr>
      </w:pPr>
      <w:r>
        <w:rPr>
          <w:rFonts w:ascii="Georgia"/>
          <w:color w:val="000059"/>
          <w:spacing w:val="-2"/>
          <w:w w:val="110"/>
          <w:sz w:val="22"/>
        </w:rPr>
        <w:t>TC_VA%</w:t>
      </w:r>
      <w:r>
        <w:rPr>
          <w:rFonts w:ascii="Georgia"/>
          <w:color w:val="000059"/>
          <w:sz w:val="22"/>
        </w:rPr>
        <w:tab/>
      </w:r>
      <w:r>
        <w:rPr>
          <w:rFonts w:ascii="Georgia"/>
          <w:color w:val="000059"/>
          <w:spacing w:val="-2"/>
          <w:w w:val="110"/>
          <w:sz w:val="22"/>
        </w:rPr>
        <w:t>DCM_%</w:t>
      </w:r>
    </w:p>
    <w:p>
      <w:pPr>
        <w:spacing w:after="0"/>
        <w:jc w:val="left"/>
        <w:rPr>
          <w:rFonts w:ascii="Georgia"/>
          <w:sz w:val="22"/>
        </w:rPr>
        <w:sectPr>
          <w:pgSz w:w="11910" w:h="16840"/>
          <w:pgMar w:header="659" w:footer="0" w:top="1340" w:bottom="280" w:left="1275" w:right="566"/>
        </w:sectPr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131" w:after="0"/>
        <w:ind w:left="1446" w:right="0" w:hanging="719"/>
        <w:jc w:val="left"/>
      </w:pPr>
      <w:r>
        <w:rPr>
          <w:color w:val="000066"/>
          <w:spacing w:val="-6"/>
        </w:rPr>
        <w:t>Statistiques</w:t>
      </w:r>
      <w:r>
        <w:rPr>
          <w:color w:val="000066"/>
          <w:spacing w:val="-11"/>
        </w:rPr>
        <w:t> </w:t>
      </w:r>
      <w:r>
        <w:rPr>
          <w:color w:val="000066"/>
          <w:spacing w:val="-6"/>
        </w:rPr>
        <w:t>descriptives</w:t>
      </w:r>
      <w:r>
        <w:rPr>
          <w:color w:val="000066"/>
          <w:spacing w:val="-10"/>
        </w:rPr>
        <w:t> </w:t>
      </w:r>
      <w:r>
        <w:rPr>
          <w:color w:val="000066"/>
          <w:spacing w:val="-6"/>
        </w:rPr>
        <w:t>de</w:t>
      </w:r>
      <w:r>
        <w:rPr>
          <w:color w:val="000066"/>
          <w:spacing w:val="-11"/>
        </w:rPr>
        <w:t> </w:t>
      </w:r>
      <w:r>
        <w:rPr>
          <w:color w:val="000066"/>
          <w:spacing w:val="-6"/>
        </w:rPr>
        <w:t>base</w:t>
      </w:r>
      <w:r>
        <w:rPr>
          <w:color w:val="000066"/>
          <w:spacing w:val="-10"/>
        </w:rPr>
        <w:t> </w:t>
      </w:r>
      <w:r>
        <w:rPr>
          <w:color w:val="000066"/>
          <w:spacing w:val="-6"/>
        </w:rPr>
        <w:t>des</w:t>
      </w:r>
      <w:r>
        <w:rPr>
          <w:color w:val="000066"/>
          <w:spacing w:val="-11"/>
        </w:rPr>
        <w:t> </w:t>
      </w:r>
      <w:r>
        <w:rPr>
          <w:color w:val="000066"/>
          <w:spacing w:val="-6"/>
        </w:rPr>
        <w:t>variables</w:t>
      </w:r>
      <w:r>
        <w:rPr>
          <w:color w:val="000066"/>
          <w:spacing w:val="-10"/>
        </w:rPr>
        <w:t> </w:t>
      </w:r>
      <w:r>
        <w:rPr>
          <w:color w:val="000066"/>
          <w:spacing w:val="-6"/>
        </w:rPr>
        <w:t>de</w:t>
      </w:r>
      <w:r>
        <w:rPr>
          <w:color w:val="000066"/>
          <w:spacing w:val="-11"/>
        </w:rPr>
        <w:t> </w:t>
      </w:r>
      <w:r>
        <w:rPr>
          <w:color w:val="000066"/>
          <w:spacing w:val="-6"/>
        </w:rPr>
        <w:t>l</w:t>
      </w:r>
      <w:r>
        <w:rPr>
          <w:color w:val="000066"/>
          <w:spacing w:val="-10"/>
        </w:rPr>
        <w:t> </w:t>
      </w:r>
      <w:r>
        <w:rPr>
          <w:color w:val="000066"/>
          <w:spacing w:val="-6"/>
        </w:rPr>
        <w:t>’ACP</w:t>
      </w:r>
      <w:r>
        <w:rPr>
          <w:color w:val="000066"/>
          <w:spacing w:val="-11"/>
        </w:rPr>
        <w:t> </w:t>
      </w:r>
      <w:r>
        <w:rPr>
          <w:color w:val="000066"/>
          <w:spacing w:val="-10"/>
        </w:rPr>
        <w:t>: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0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1619999</wp:posOffset>
            </wp:positionH>
            <wp:positionV relativeFrom="paragraph">
              <wp:posOffset>226867</wp:posOffset>
            </wp:positionV>
            <wp:extent cx="4304823" cy="184680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823" cy="1846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7"/>
        <w:ind w:left="3010"/>
      </w:pPr>
      <w:r>
        <w:rPr>
          <w:rFonts w:ascii="Cambria" w:hAnsi="Cambria"/>
          <w:w w:val="110"/>
        </w:rPr>
        <w:t>F</w:t>
      </w:r>
      <w:r>
        <w:rPr>
          <w:rFonts w:ascii="Cambria" w:hAnsi="Cambria"/>
          <w:smallCaps/>
          <w:w w:val="110"/>
        </w:rPr>
        <w:t>igure</w:t>
      </w:r>
      <w:r>
        <w:rPr>
          <w:rFonts w:ascii="Cambria" w:hAnsi="Cambria"/>
          <w:smallCaps w:val="0"/>
          <w:spacing w:val="29"/>
          <w:w w:val="110"/>
        </w:rPr>
        <w:t> </w:t>
      </w:r>
      <w:r>
        <w:rPr>
          <w:rFonts w:ascii="Cambria" w:hAnsi="Cambria"/>
          <w:smallCaps w:val="0"/>
          <w:w w:val="110"/>
        </w:rPr>
        <w:t>7</w:t>
      </w:r>
      <w:r>
        <w:rPr>
          <w:rFonts w:ascii="Cambria" w:hAnsi="Cambria"/>
          <w:smallCaps w:val="0"/>
          <w:spacing w:val="21"/>
          <w:w w:val="110"/>
        </w:rPr>
        <w:t> </w:t>
      </w:r>
      <w:r>
        <w:rPr>
          <w:smallCaps w:val="0"/>
          <w:w w:val="110"/>
        </w:rPr>
        <w:t>–</w:t>
      </w:r>
      <w:r>
        <w:rPr>
          <w:smallCaps w:val="0"/>
          <w:spacing w:val="13"/>
          <w:w w:val="110"/>
        </w:rPr>
        <w:t> </w:t>
      </w:r>
      <w:r>
        <w:rPr>
          <w:smallCaps w:val="0"/>
          <w:w w:val="110"/>
        </w:rPr>
        <w:t>Statistiques</w:t>
      </w:r>
      <w:r>
        <w:rPr>
          <w:smallCaps w:val="0"/>
          <w:spacing w:val="12"/>
          <w:w w:val="110"/>
        </w:rPr>
        <w:t> </w:t>
      </w:r>
      <w:r>
        <w:rPr>
          <w:smallCaps w:val="0"/>
          <w:w w:val="110"/>
        </w:rPr>
        <w:t>de</w:t>
      </w:r>
      <w:r>
        <w:rPr>
          <w:smallCaps w:val="0"/>
          <w:spacing w:val="13"/>
          <w:w w:val="110"/>
        </w:rPr>
        <w:t> </w:t>
      </w:r>
      <w:r>
        <w:rPr>
          <w:smallCaps w:val="0"/>
          <w:spacing w:val="-4"/>
          <w:w w:val="110"/>
        </w:rPr>
        <w:t>base</w:t>
      </w:r>
    </w:p>
    <w:p>
      <w:pPr>
        <w:pStyle w:val="BodyText"/>
        <w:spacing w:before="209"/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0" w:after="0"/>
        <w:ind w:left="1446" w:right="0" w:hanging="719"/>
        <w:jc w:val="left"/>
      </w:pPr>
      <w:bookmarkStart w:name="Relations entre variables :" w:id="5"/>
      <w:bookmarkEnd w:id="5"/>
      <w:r>
        <w:rPr>
          <w:b w:val="0"/>
        </w:rPr>
      </w:r>
      <w:r>
        <w:rPr>
          <w:color w:val="000066"/>
          <w:spacing w:val="-8"/>
        </w:rPr>
        <w:t>Relations</w:t>
      </w:r>
      <w:r>
        <w:rPr>
          <w:color w:val="000066"/>
        </w:rPr>
        <w:t> </w:t>
      </w:r>
      <w:r>
        <w:rPr>
          <w:color w:val="000066"/>
          <w:spacing w:val="-8"/>
        </w:rPr>
        <w:t>entre</w:t>
      </w:r>
      <w:r>
        <w:rPr>
          <w:color w:val="000066"/>
        </w:rPr>
        <w:t> </w:t>
      </w:r>
      <w:r>
        <w:rPr>
          <w:color w:val="000066"/>
          <w:spacing w:val="-8"/>
        </w:rPr>
        <w:t>variables</w:t>
      </w:r>
      <w:r>
        <w:rPr>
          <w:color w:val="000066"/>
          <w:spacing w:val="1"/>
        </w:rPr>
        <w:t> </w:t>
      </w:r>
      <w:r>
        <w:rPr>
          <w:color w:val="000066"/>
          <w:spacing w:val="-10"/>
        </w:rPr>
        <w:t>:</w:t>
      </w:r>
    </w:p>
    <w:p>
      <w:pPr>
        <w:pStyle w:val="BodyText"/>
        <w:spacing w:line="312" w:lineRule="auto" w:before="257"/>
        <w:ind w:left="727" w:right="848"/>
        <w:jc w:val="both"/>
      </w:pPr>
      <w:r>
        <w:rPr>
          <w:w w:val="105"/>
        </w:rPr>
        <w:t>Afin d’analyser la structure de corrélation entre les indicateurs macroéconomiques et les dynamiques du marché boursier marocain, la matrice de corrélation est pré- sentée dans la figure ci-dessous.</w:t>
      </w:r>
    </w:p>
    <w:p>
      <w:pPr>
        <w:pStyle w:val="BodyText"/>
        <w:spacing w:line="312" w:lineRule="auto"/>
        <w:ind w:left="727" w:right="850"/>
        <w:jc w:val="both"/>
      </w:pPr>
      <w:r>
        <w:rPr/>
        <w:t>L’analyse de cette matrice permet d’identifier les relations positives et négatives significatives entre les variables étudiées.</w:t>
      </w: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1804505</wp:posOffset>
            </wp:positionH>
            <wp:positionV relativeFrom="paragraph">
              <wp:posOffset>171829</wp:posOffset>
            </wp:positionV>
            <wp:extent cx="3901821" cy="354711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821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9"/>
      </w:pP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40" w:lineRule="auto" w:before="0" w:after="0"/>
        <w:ind w:left="1242" w:right="0" w:hanging="236"/>
        <w:jc w:val="left"/>
        <w:rPr>
          <w:rFonts w:ascii="Calibri" w:hAnsi="Calibri"/>
          <w:sz w:val="24"/>
        </w:rPr>
      </w:pPr>
      <w:r>
        <w:rPr>
          <w:w w:val="115"/>
          <w:sz w:val="24"/>
        </w:rPr>
        <w:t>On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observe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une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forte</w:t>
      </w:r>
      <w:r>
        <w:rPr>
          <w:spacing w:val="2"/>
          <w:w w:val="115"/>
          <w:sz w:val="24"/>
        </w:rPr>
        <w:t> </w:t>
      </w:r>
      <w:r>
        <w:rPr>
          <w:w w:val="115"/>
          <w:sz w:val="24"/>
        </w:rPr>
        <w:t>corrélation</w:t>
      </w:r>
      <w:r>
        <w:rPr>
          <w:w w:val="115"/>
          <w:sz w:val="24"/>
        </w:rPr>
        <w:t> positive</w:t>
      </w:r>
      <w:r>
        <w:rPr>
          <w:spacing w:val="1"/>
          <w:w w:val="115"/>
          <w:sz w:val="24"/>
        </w:rPr>
        <w:t> </w:t>
      </w:r>
      <w:r>
        <w:rPr>
          <w:w w:val="115"/>
          <w:sz w:val="24"/>
        </w:rPr>
        <w:t>entre</w:t>
      </w:r>
      <w:r>
        <w:rPr>
          <w:w w:val="115"/>
          <w:sz w:val="24"/>
        </w:rPr>
        <w:t> </w:t>
      </w:r>
      <w:r>
        <w:rPr>
          <w:rFonts w:ascii="Calibri" w:hAnsi="Calibri"/>
          <w:i/>
          <w:spacing w:val="11"/>
          <w:w w:val="115"/>
          <w:sz w:val="24"/>
        </w:rPr>
        <w:t>PIB</w:t>
      </w:r>
      <w:r>
        <w:rPr>
          <w:spacing w:val="11"/>
          <w:w w:val="115"/>
          <w:sz w:val="24"/>
        </w:rPr>
        <w:t>_</w:t>
      </w:r>
      <w:r>
        <w:rPr>
          <w:rFonts w:ascii="Calibri" w:hAnsi="Calibri"/>
          <w:i/>
          <w:spacing w:val="11"/>
          <w:w w:val="115"/>
          <w:sz w:val="24"/>
        </w:rPr>
        <w:t>CA</w:t>
      </w:r>
      <w:r>
        <w:rPr>
          <w:rFonts w:ascii="Calibri" w:hAnsi="Calibri"/>
          <w:spacing w:val="11"/>
          <w:w w:val="115"/>
          <w:sz w:val="24"/>
        </w:rPr>
        <w:t>%</w:t>
      </w:r>
      <w:r>
        <w:rPr>
          <w:rFonts w:ascii="Calibri" w:hAnsi="Calibri"/>
          <w:spacing w:val="8"/>
          <w:w w:val="115"/>
          <w:sz w:val="24"/>
        </w:rPr>
        <w:t> </w:t>
      </w:r>
      <w:r>
        <w:rPr>
          <w:w w:val="115"/>
          <w:sz w:val="24"/>
        </w:rPr>
        <w:t>et</w:t>
      </w:r>
      <w:r>
        <w:rPr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DCM</w:t>
      </w:r>
      <w:r>
        <w:rPr>
          <w:rFonts w:ascii="Calibri" w:hAnsi="Calibri"/>
          <w:i/>
          <w:spacing w:val="-38"/>
          <w:w w:val="115"/>
          <w:sz w:val="24"/>
        </w:rPr>
        <w:t> </w:t>
      </w:r>
      <w:r>
        <w:rPr>
          <w:w w:val="115"/>
          <w:sz w:val="24"/>
        </w:rPr>
        <w:t>_</w:t>
      </w:r>
      <w:r>
        <w:rPr>
          <w:rFonts w:ascii="Calibri" w:hAnsi="Calibri"/>
          <w:i/>
          <w:w w:val="115"/>
          <w:sz w:val="24"/>
        </w:rPr>
        <w:t>V</w:t>
      </w:r>
      <w:r>
        <w:rPr>
          <w:rFonts w:ascii="Calibri" w:hAnsi="Calibri"/>
          <w:i/>
          <w:spacing w:val="-16"/>
          <w:w w:val="115"/>
          <w:sz w:val="24"/>
        </w:rPr>
        <w:t> </w:t>
      </w:r>
      <w:r>
        <w:rPr>
          <w:rFonts w:ascii="Calibri" w:hAnsi="Calibri"/>
          <w:i/>
          <w:spacing w:val="-5"/>
          <w:w w:val="115"/>
          <w:sz w:val="24"/>
        </w:rPr>
        <w:t>A</w:t>
      </w:r>
      <w:r>
        <w:rPr>
          <w:rFonts w:ascii="Calibri" w:hAnsi="Calibri"/>
          <w:spacing w:val="-5"/>
          <w:w w:val="115"/>
          <w:sz w:val="24"/>
        </w:rPr>
        <w:t>%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4"/>
        </w:rPr>
        <w:sectPr>
          <w:pgSz w:w="11910" w:h="16840"/>
          <w:pgMar w:header="659" w:footer="0" w:top="1340" w:bottom="280" w:left="1275" w:right="566"/>
        </w:sectPr>
      </w:pPr>
    </w:p>
    <w:p>
      <w:pPr>
        <w:pStyle w:val="BodyText"/>
        <w:spacing w:line="307" w:lineRule="auto" w:before="86"/>
        <w:ind w:left="1242" w:right="848"/>
        <w:jc w:val="both"/>
      </w:pPr>
      <w:r>
        <w:rPr>
          <w:rFonts w:ascii="Calibri" w:hAnsi="Calibri"/>
          <w:w w:val="105"/>
        </w:rPr>
        <w:t>(</w:t>
      </w:r>
      <w:r>
        <w:rPr>
          <w:rFonts w:ascii="Calibri" w:hAnsi="Calibri"/>
          <w:i/>
          <w:w w:val="105"/>
        </w:rPr>
        <w:t>r </w:t>
      </w:r>
      <w:r>
        <w:rPr>
          <w:rFonts w:ascii="Calibri" w:hAnsi="Calibri"/>
          <w:w w:val="125"/>
        </w:rPr>
        <w:t>=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5"/>
          <w:w w:val="105"/>
        </w:rPr>
        <w:t> </w:t>
      </w:r>
      <w:r>
        <w:rPr>
          <w:rFonts w:ascii="Calibri" w:hAnsi="Calibri"/>
          <w:w w:val="105"/>
        </w:rPr>
        <w:t>69)</w:t>
      </w:r>
      <w:r>
        <w:rPr>
          <w:w w:val="105"/>
        </w:rPr>
        <w:t>, ce qui indique que la croissance de PIB est fortement liée à l’évo- lution des dépenses de consommation des ménages. Dans le sens économique, lorsque</w:t>
      </w:r>
      <w:r>
        <w:rPr>
          <w:spacing w:val="-1"/>
          <w:w w:val="105"/>
        </w:rPr>
        <w:t> </w:t>
      </w:r>
      <w:r>
        <w:rPr>
          <w:w w:val="105"/>
        </w:rPr>
        <w:t>le</w:t>
      </w:r>
      <w:r>
        <w:rPr>
          <w:spacing w:val="-1"/>
          <w:w w:val="105"/>
        </w:rPr>
        <w:t> </w:t>
      </w:r>
      <w:r>
        <w:rPr>
          <w:w w:val="105"/>
        </w:rPr>
        <w:t>PIB</w:t>
      </w:r>
      <w:r>
        <w:rPr>
          <w:spacing w:val="-1"/>
          <w:w w:val="105"/>
        </w:rPr>
        <w:t> </w:t>
      </w:r>
      <w:r>
        <w:rPr>
          <w:w w:val="105"/>
        </w:rPr>
        <w:t>croît,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consommation</w:t>
      </w:r>
      <w:r>
        <w:rPr>
          <w:spacing w:val="-1"/>
          <w:w w:val="105"/>
        </w:rPr>
        <w:t> </w:t>
      </w:r>
      <w:r>
        <w:rPr>
          <w:w w:val="105"/>
        </w:rPr>
        <w:t>des</w:t>
      </w:r>
      <w:r>
        <w:rPr>
          <w:spacing w:val="-1"/>
          <w:w w:val="105"/>
        </w:rPr>
        <w:t> </w:t>
      </w:r>
      <w:r>
        <w:rPr>
          <w:w w:val="105"/>
        </w:rPr>
        <w:t>ménages</w:t>
      </w:r>
      <w:r>
        <w:rPr>
          <w:spacing w:val="-1"/>
          <w:w w:val="105"/>
        </w:rPr>
        <w:t> </w:t>
      </w:r>
      <w:r>
        <w:rPr>
          <w:w w:val="105"/>
        </w:rPr>
        <w:t>augmente,</w:t>
      </w:r>
      <w:r>
        <w:rPr>
          <w:spacing w:val="-1"/>
          <w:w w:val="105"/>
        </w:rPr>
        <w:t> </w:t>
      </w:r>
      <w:r>
        <w:rPr>
          <w:w w:val="105"/>
        </w:rPr>
        <w:t>ce</w:t>
      </w:r>
      <w:r>
        <w:rPr>
          <w:spacing w:val="-1"/>
          <w:w w:val="105"/>
        </w:rPr>
        <w:t> </w:t>
      </w:r>
      <w:r>
        <w:rPr>
          <w:w w:val="105"/>
        </w:rPr>
        <w:t>qui</w:t>
      </w:r>
      <w:r>
        <w:rPr>
          <w:spacing w:val="-1"/>
          <w:w w:val="105"/>
        </w:rPr>
        <w:t> </w:t>
      </w:r>
      <w:r>
        <w:rPr>
          <w:w w:val="105"/>
        </w:rPr>
        <w:t>influence positivement le marché boursier marocain.</w:t>
      </w:r>
    </w:p>
    <w:p>
      <w:pPr>
        <w:pStyle w:val="BodyText"/>
        <w:spacing w:before="65"/>
      </w:pP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358" w:lineRule="exact" w:before="1" w:after="0"/>
        <w:ind w:left="1242" w:right="849" w:hanging="237"/>
        <w:jc w:val="both"/>
        <w:rPr>
          <w:sz w:val="24"/>
        </w:rPr>
      </w:pPr>
      <w:r>
        <w:rPr>
          <w:w w:val="115"/>
          <w:sz w:val="24"/>
        </w:rPr>
        <w:t>Le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rendement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du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MASI</w:t>
      </w:r>
      <w:r>
        <w:rPr>
          <w:spacing w:val="-17"/>
          <w:w w:val="115"/>
          <w:sz w:val="24"/>
        </w:rPr>
        <w:t> </w:t>
      </w:r>
      <w:r>
        <w:rPr>
          <w:rFonts w:ascii="Calibri" w:hAnsi="Calibri"/>
          <w:w w:val="120"/>
          <w:sz w:val="24"/>
        </w:rPr>
        <w:t>(</w:t>
      </w:r>
      <w:r>
        <w:rPr>
          <w:rFonts w:ascii="Calibri" w:hAnsi="Calibri"/>
          <w:i/>
          <w:w w:val="120"/>
          <w:sz w:val="24"/>
        </w:rPr>
        <w:t>MASI</w:t>
      </w:r>
      <w:r>
        <w:rPr>
          <w:w w:val="120"/>
          <w:sz w:val="24"/>
        </w:rPr>
        <w:t>_</w:t>
      </w:r>
      <w:r>
        <w:rPr>
          <w:rFonts w:ascii="Calibri" w:hAnsi="Calibri"/>
          <w:i/>
          <w:w w:val="120"/>
          <w:sz w:val="24"/>
        </w:rPr>
        <w:t>RA</w:t>
      </w:r>
      <w:r>
        <w:rPr>
          <w:rFonts w:ascii="Calibri" w:hAnsi="Calibri"/>
          <w:w w:val="120"/>
          <w:sz w:val="24"/>
        </w:rPr>
        <w:t>%)</w:t>
      </w:r>
      <w:r>
        <w:rPr>
          <w:rFonts w:ascii="Calibri" w:hAnsi="Calibri"/>
          <w:spacing w:val="-17"/>
          <w:w w:val="120"/>
          <w:sz w:val="24"/>
        </w:rPr>
        <w:t> </w:t>
      </w:r>
      <w:r>
        <w:rPr>
          <w:w w:val="115"/>
          <w:sz w:val="24"/>
        </w:rPr>
        <w:t>présente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également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une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corrélation </w:t>
      </w:r>
      <w:r>
        <w:rPr>
          <w:w w:val="110"/>
          <w:sz w:val="24"/>
        </w:rPr>
        <w:t>positive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notable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avec</w:t>
      </w:r>
      <w:r>
        <w:rPr>
          <w:w w:val="110"/>
          <w:sz w:val="24"/>
        </w:rPr>
        <w:t> </w:t>
      </w:r>
      <w:r>
        <w:rPr>
          <w:rFonts w:ascii="Calibri" w:hAnsi="Calibri"/>
          <w:i/>
          <w:spacing w:val="12"/>
          <w:w w:val="110"/>
          <w:sz w:val="24"/>
        </w:rPr>
        <w:t>MM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10"/>
          <w:sz w:val="24"/>
        </w:rPr>
        <w:t>_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A</w:t>
      </w:r>
      <w:r>
        <w:rPr>
          <w:rFonts w:ascii="Calibri" w:hAnsi="Calibri"/>
          <w:w w:val="110"/>
          <w:sz w:val="24"/>
        </w:rPr>
        <w:t>%</w:t>
      </w:r>
      <w:r>
        <w:rPr>
          <w:rFonts w:ascii="Calibri" w:hAnsi="Calibri"/>
          <w:w w:val="110"/>
          <w:sz w:val="24"/>
        </w:rPr>
        <w:t> (</w:t>
      </w:r>
      <w:r>
        <w:rPr>
          <w:rFonts w:ascii="Calibri" w:hAnsi="Calibri"/>
          <w:i/>
          <w:w w:val="110"/>
          <w:sz w:val="24"/>
        </w:rPr>
        <w:t>r</w:t>
      </w:r>
      <w:r>
        <w:rPr>
          <w:rFonts w:ascii="Calibri" w:hAnsi="Calibri"/>
          <w:i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=</w:t>
      </w:r>
      <w:r>
        <w:rPr>
          <w:rFonts w:ascii="Calibri" w:hAnsi="Calibri"/>
          <w:w w:val="110"/>
          <w:sz w:val="24"/>
        </w:rPr>
        <w:t> 0</w:t>
      </w:r>
      <w:r>
        <w:rPr>
          <w:rFonts w:ascii="Calibri" w:hAnsi="Calibri"/>
          <w:i/>
          <w:w w:val="110"/>
          <w:sz w:val="24"/>
        </w:rPr>
        <w:t>,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46)</w:t>
      </w:r>
      <w:r>
        <w:rPr>
          <w:w w:val="110"/>
          <w:sz w:val="24"/>
        </w:rPr>
        <w:t>,</w:t>
      </w:r>
      <w:r>
        <w:rPr>
          <w:w w:val="110"/>
          <w:sz w:val="24"/>
        </w:rPr>
        <w:t> suggérant</w:t>
      </w:r>
      <w:r>
        <w:rPr>
          <w:w w:val="110"/>
          <w:sz w:val="24"/>
        </w:rPr>
        <w:t> que</w:t>
      </w:r>
      <w:r>
        <w:rPr>
          <w:w w:val="110"/>
          <w:sz w:val="24"/>
        </w:rPr>
        <w:t> la</w:t>
      </w:r>
      <w:r>
        <w:rPr>
          <w:w w:val="110"/>
          <w:sz w:val="24"/>
        </w:rPr>
        <w:t> masse</w:t>
      </w:r>
      <w:r>
        <w:rPr>
          <w:w w:val="110"/>
          <w:sz w:val="24"/>
        </w:rPr>
        <w:t> moné- </w:t>
      </w:r>
      <w:r>
        <w:rPr>
          <w:sz w:val="24"/>
        </w:rPr>
        <w:t>taire influence l’évolution du marché boursier marocain. En revanche, certaines </w:t>
      </w:r>
      <w:r>
        <w:rPr>
          <w:w w:val="110"/>
          <w:sz w:val="24"/>
        </w:rPr>
        <w:t>corrélations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sont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faibles,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par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exemple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entre</w:t>
      </w:r>
      <w:r>
        <w:rPr>
          <w:spacing w:val="-1"/>
          <w:w w:val="110"/>
          <w:sz w:val="24"/>
        </w:rPr>
        <w:t> </w:t>
      </w:r>
      <w:r>
        <w:rPr>
          <w:rFonts w:ascii="Calibri" w:hAnsi="Calibri"/>
          <w:i/>
          <w:spacing w:val="17"/>
          <w:w w:val="110"/>
          <w:sz w:val="24"/>
        </w:rPr>
        <w:t>TI</w:t>
      </w:r>
      <w:r>
        <w:rPr>
          <w:rFonts w:ascii="Calibri" w:hAnsi="Calibri"/>
          <w:spacing w:val="17"/>
          <w:w w:val="110"/>
          <w:sz w:val="24"/>
        </w:rPr>
        <w:t>%</w:t>
      </w:r>
      <w:r>
        <w:rPr>
          <w:rFonts w:ascii="Calibri" w:hAnsi="Calibri"/>
          <w:spacing w:val="6"/>
          <w:w w:val="110"/>
          <w:sz w:val="24"/>
        </w:rPr>
        <w:t> </w:t>
      </w:r>
      <w:r>
        <w:rPr>
          <w:w w:val="110"/>
          <w:sz w:val="24"/>
        </w:rPr>
        <w:t>et</w:t>
      </w:r>
      <w:r>
        <w:rPr>
          <w:spacing w:val="-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MASI</w:t>
      </w:r>
      <w:r>
        <w:rPr>
          <w:w w:val="110"/>
          <w:sz w:val="24"/>
        </w:rPr>
        <w:t>_</w:t>
      </w:r>
      <w:r>
        <w:rPr>
          <w:rFonts w:ascii="Calibri" w:hAnsi="Calibri"/>
          <w:i/>
          <w:w w:val="110"/>
          <w:sz w:val="24"/>
        </w:rPr>
        <w:t>RA</w:t>
      </w:r>
      <w:r>
        <w:rPr>
          <w:rFonts w:ascii="Calibri" w:hAnsi="Calibri"/>
          <w:w w:val="110"/>
          <w:sz w:val="24"/>
        </w:rPr>
        <w:t>% (</w:t>
      </w:r>
      <w:r>
        <w:rPr>
          <w:rFonts w:ascii="Calibri" w:hAnsi="Calibri"/>
          <w:i/>
          <w:w w:val="110"/>
          <w:sz w:val="24"/>
        </w:rPr>
        <w:t>r </w:t>
      </w:r>
      <w:r>
        <w:rPr>
          <w:rFonts w:ascii="Calibri" w:hAnsi="Calibri"/>
          <w:w w:val="110"/>
          <w:sz w:val="24"/>
        </w:rPr>
        <w:t>=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Calibri" w:hAnsi="Calibri"/>
          <w:w w:val="110"/>
          <w:sz w:val="24"/>
        </w:rPr>
        <w:t>0</w:t>
      </w:r>
      <w:r>
        <w:rPr>
          <w:rFonts w:ascii="Calibri" w:hAnsi="Calibri"/>
          <w:i/>
          <w:w w:val="110"/>
          <w:sz w:val="24"/>
        </w:rPr>
        <w:t>,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29)</w:t>
      </w:r>
      <w:r>
        <w:rPr>
          <w:w w:val="110"/>
          <w:sz w:val="24"/>
        </w:rPr>
        <w:t>, indiquant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taux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d’intérêt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moyen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n’est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pas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directement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lié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au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rendement boursier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sur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période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étudiée.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Ce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qui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vaut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dire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économiquement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que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taux d’intérêt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moyen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n’a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pas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d’impact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direct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fort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sur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rendement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MASI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sur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la </w:t>
      </w:r>
      <w:r>
        <w:rPr>
          <w:w w:val="115"/>
          <w:sz w:val="24"/>
        </w:rPr>
        <w:t>période étudiée.</w:t>
      </w:r>
    </w:p>
    <w:p>
      <w:pPr>
        <w:pStyle w:val="BodyText"/>
        <w:spacing w:before="151"/>
      </w:pP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76" w:lineRule="auto" w:before="0" w:after="0"/>
        <w:ind w:left="1242" w:right="849" w:hanging="237"/>
        <w:jc w:val="both"/>
        <w:rPr>
          <w:sz w:val="24"/>
        </w:rPr>
      </w:pPr>
      <w:r>
        <w:rPr>
          <w:w w:val="110"/>
          <w:sz w:val="24"/>
        </w:rPr>
        <w:t>On</w:t>
      </w:r>
      <w:r>
        <w:rPr>
          <w:w w:val="110"/>
          <w:sz w:val="24"/>
        </w:rPr>
        <w:t> remarque</w:t>
      </w:r>
      <w:r>
        <w:rPr>
          <w:w w:val="110"/>
          <w:sz w:val="24"/>
        </w:rPr>
        <w:t> également</w:t>
      </w:r>
      <w:r>
        <w:rPr>
          <w:w w:val="110"/>
          <w:sz w:val="24"/>
        </w:rPr>
        <w:t> une</w:t>
      </w:r>
      <w:r>
        <w:rPr>
          <w:w w:val="110"/>
          <w:sz w:val="24"/>
        </w:rPr>
        <w:t> corrélation</w:t>
      </w:r>
      <w:r>
        <w:rPr>
          <w:w w:val="110"/>
          <w:sz w:val="24"/>
        </w:rPr>
        <w:t> négative</w:t>
      </w:r>
      <w:r>
        <w:rPr>
          <w:w w:val="110"/>
          <w:sz w:val="24"/>
        </w:rPr>
        <w:t> entre</w:t>
      </w:r>
      <w:r>
        <w:rPr>
          <w:w w:val="110"/>
          <w:sz w:val="24"/>
        </w:rPr>
        <w:t> </w:t>
      </w:r>
      <w:r>
        <w:rPr>
          <w:rFonts w:ascii="Calibri" w:hAnsi="Calibri"/>
          <w:i/>
          <w:spacing w:val="11"/>
          <w:w w:val="110"/>
          <w:sz w:val="24"/>
        </w:rPr>
        <w:t>CH</w:t>
      </w:r>
      <w:r>
        <w:rPr>
          <w:rFonts w:ascii="Calibri" w:hAnsi="Calibri"/>
          <w:spacing w:val="11"/>
          <w:w w:val="110"/>
          <w:sz w:val="24"/>
        </w:rPr>
        <w:t>%</w:t>
      </w:r>
      <w:r>
        <w:rPr>
          <w:rFonts w:ascii="Calibri" w:hAnsi="Calibri"/>
          <w:spacing w:val="11"/>
          <w:w w:val="110"/>
          <w:sz w:val="24"/>
        </w:rPr>
        <w:t> </w:t>
      </w:r>
      <w:r>
        <w:rPr>
          <w:w w:val="110"/>
          <w:sz w:val="24"/>
        </w:rPr>
        <w:t>(taux</w:t>
      </w:r>
      <w:r>
        <w:rPr>
          <w:w w:val="110"/>
          <w:sz w:val="24"/>
        </w:rPr>
        <w:t> de</w:t>
      </w:r>
      <w:r>
        <w:rPr>
          <w:w w:val="110"/>
          <w:sz w:val="24"/>
        </w:rPr>
        <w:t> chô- mage)</w:t>
      </w:r>
      <w:r>
        <w:rPr>
          <w:w w:val="110"/>
          <w:sz w:val="24"/>
        </w:rPr>
        <w:t> et</w:t>
      </w:r>
      <w:r>
        <w:rPr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MASI</w:t>
      </w:r>
      <w:r>
        <w:rPr>
          <w:w w:val="110"/>
          <w:sz w:val="24"/>
        </w:rPr>
        <w:t>_</w:t>
      </w:r>
      <w:r>
        <w:rPr>
          <w:rFonts w:ascii="Calibri" w:hAnsi="Calibri"/>
          <w:i/>
          <w:w w:val="110"/>
          <w:sz w:val="24"/>
        </w:rPr>
        <w:t>RA</w:t>
      </w:r>
      <w:r>
        <w:rPr>
          <w:rFonts w:ascii="Calibri" w:hAnsi="Calibri"/>
          <w:w w:val="110"/>
          <w:sz w:val="24"/>
        </w:rPr>
        <w:t>%</w:t>
      </w:r>
      <w:r>
        <w:rPr>
          <w:w w:val="110"/>
          <w:sz w:val="24"/>
        </w:rPr>
        <w:t>,</w:t>
      </w:r>
      <w:r>
        <w:rPr>
          <w:w w:val="110"/>
          <w:sz w:val="24"/>
        </w:rPr>
        <w:t> ce</w:t>
      </w:r>
      <w:r>
        <w:rPr>
          <w:w w:val="110"/>
          <w:sz w:val="24"/>
        </w:rPr>
        <w:t> qui</w:t>
      </w:r>
      <w:r>
        <w:rPr>
          <w:w w:val="110"/>
          <w:sz w:val="24"/>
        </w:rPr>
        <w:t> signifie</w:t>
      </w:r>
      <w:r>
        <w:rPr>
          <w:w w:val="110"/>
          <w:sz w:val="24"/>
        </w:rPr>
        <w:t> que</w:t>
      </w:r>
      <w:r>
        <w:rPr>
          <w:w w:val="110"/>
          <w:sz w:val="24"/>
        </w:rPr>
        <w:t> lorsque</w:t>
      </w:r>
      <w:r>
        <w:rPr>
          <w:w w:val="110"/>
          <w:sz w:val="24"/>
        </w:rPr>
        <w:t> le</w:t>
      </w:r>
      <w:r>
        <w:rPr>
          <w:w w:val="110"/>
          <w:sz w:val="24"/>
        </w:rPr>
        <w:t> chômage</w:t>
      </w:r>
      <w:r>
        <w:rPr>
          <w:w w:val="110"/>
          <w:sz w:val="24"/>
        </w:rPr>
        <w:t> augmente,</w:t>
      </w:r>
      <w:r>
        <w:rPr>
          <w:w w:val="110"/>
          <w:sz w:val="24"/>
        </w:rPr>
        <w:t> le rendement du MASI tend à baisser.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Heading1"/>
        <w:numPr>
          <w:ilvl w:val="0"/>
          <w:numId w:val="1"/>
        </w:numPr>
        <w:tabs>
          <w:tab w:pos="1284" w:val="left" w:leader="none"/>
        </w:tabs>
        <w:spacing w:line="240" w:lineRule="auto" w:before="0" w:after="0"/>
        <w:ind w:left="1284" w:right="0" w:hanging="557"/>
        <w:jc w:val="left"/>
      </w:pPr>
      <w:bookmarkStart w:name="Analyse en Composantes Principales (ACP)" w:id="6"/>
      <w:bookmarkEnd w:id="6"/>
      <w:r>
        <w:rPr>
          <w:b w:val="0"/>
        </w:rPr>
      </w:r>
      <w:r>
        <w:rPr>
          <w:color w:val="FF0000"/>
          <w:spacing w:val="-2"/>
          <w:w w:val="105"/>
        </w:rPr>
        <w:t>Analyse</w:t>
      </w:r>
      <w:r>
        <w:rPr>
          <w:color w:val="FF0000"/>
          <w:spacing w:val="14"/>
          <w:w w:val="105"/>
        </w:rPr>
        <w:t> </w:t>
      </w:r>
      <w:r>
        <w:rPr>
          <w:color w:val="FF0000"/>
          <w:spacing w:val="-2"/>
          <w:w w:val="105"/>
        </w:rPr>
        <w:t>en</w:t>
      </w:r>
      <w:r>
        <w:rPr>
          <w:color w:val="FF0000"/>
          <w:spacing w:val="14"/>
          <w:w w:val="105"/>
        </w:rPr>
        <w:t> </w:t>
      </w:r>
      <w:r>
        <w:rPr>
          <w:color w:val="FF0000"/>
          <w:spacing w:val="-2"/>
          <w:w w:val="105"/>
        </w:rPr>
        <w:t>Composantes</w:t>
      </w:r>
      <w:r>
        <w:rPr>
          <w:color w:val="FF0000"/>
          <w:spacing w:val="14"/>
          <w:w w:val="105"/>
        </w:rPr>
        <w:t> </w:t>
      </w:r>
      <w:r>
        <w:rPr>
          <w:color w:val="FF0000"/>
          <w:spacing w:val="-2"/>
          <w:w w:val="105"/>
        </w:rPr>
        <w:t>Principales</w:t>
      </w:r>
      <w:r>
        <w:rPr>
          <w:color w:val="FF0000"/>
          <w:spacing w:val="15"/>
          <w:w w:val="105"/>
        </w:rPr>
        <w:t> </w:t>
      </w:r>
      <w:r>
        <w:rPr>
          <w:color w:val="FF0000"/>
          <w:spacing w:val="-4"/>
          <w:w w:val="105"/>
        </w:rPr>
        <w:t>(ACP)</w:t>
      </w:r>
    </w:p>
    <w:p>
      <w:pPr>
        <w:pStyle w:val="BodyText"/>
        <w:spacing w:before="41"/>
        <w:rPr>
          <w:rFonts w:ascii="Cambria"/>
          <w:b/>
          <w:sz w:val="34"/>
        </w:rPr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0" w:after="0"/>
        <w:ind w:left="1446" w:right="0" w:hanging="719"/>
        <w:jc w:val="left"/>
      </w:pPr>
      <w:bookmarkStart w:name="Cadre théorique" w:id="7"/>
      <w:bookmarkEnd w:id="7"/>
      <w:r>
        <w:rPr>
          <w:b w:val="0"/>
        </w:rPr>
      </w:r>
      <w:r>
        <w:rPr>
          <w:color w:val="000066"/>
        </w:rPr>
        <w:t>Cadre</w:t>
      </w:r>
      <w:r>
        <w:rPr>
          <w:color w:val="000066"/>
          <w:spacing w:val="-2"/>
        </w:rPr>
        <w:t> théorique</w:t>
      </w:r>
    </w:p>
    <w:p>
      <w:pPr>
        <w:pStyle w:val="BodyText"/>
        <w:spacing w:line="312" w:lineRule="auto" w:before="269"/>
        <w:ind w:left="727" w:right="849"/>
        <w:jc w:val="both"/>
      </w:pPr>
      <w:r>
        <w:rPr>
          <w:rFonts w:ascii="Georgia" w:hAnsi="Georgia"/>
          <w:b/>
        </w:rPr>
        <w:t>L’Analyse en Composantes Principales (ACP) </w:t>
      </w:r>
      <w:r>
        <w:rPr/>
        <w:t>est une technique statistique </w:t>
      </w:r>
      <w:r>
        <w:rPr>
          <w:w w:val="105"/>
        </w:rPr>
        <w:t>multivariée</w:t>
      </w:r>
      <w:r>
        <w:rPr>
          <w:w w:val="105"/>
        </w:rPr>
        <w:t> visant</w:t>
      </w:r>
      <w:r>
        <w:rPr>
          <w:w w:val="105"/>
        </w:rPr>
        <w:t> à</w:t>
      </w:r>
      <w:r>
        <w:rPr>
          <w:w w:val="105"/>
        </w:rPr>
        <w:t> réduire</w:t>
      </w:r>
      <w:r>
        <w:rPr>
          <w:w w:val="105"/>
        </w:rPr>
        <w:t> la</w:t>
      </w:r>
      <w:r>
        <w:rPr>
          <w:w w:val="105"/>
        </w:rPr>
        <w:t> dimension</w:t>
      </w:r>
      <w:r>
        <w:rPr>
          <w:w w:val="105"/>
        </w:rPr>
        <w:t> d’un</w:t>
      </w:r>
      <w:r>
        <w:rPr>
          <w:w w:val="105"/>
        </w:rPr>
        <w:t> jeu</w:t>
      </w:r>
      <w:r>
        <w:rPr>
          <w:w w:val="105"/>
        </w:rPr>
        <w:t> de</w:t>
      </w:r>
      <w:r>
        <w:rPr>
          <w:w w:val="105"/>
        </w:rPr>
        <w:t> données</w:t>
      </w:r>
      <w:r>
        <w:rPr>
          <w:w w:val="105"/>
        </w:rPr>
        <w:t> tout</w:t>
      </w:r>
      <w:r>
        <w:rPr>
          <w:w w:val="105"/>
        </w:rPr>
        <w:t> en</w:t>
      </w:r>
      <w:r>
        <w:rPr>
          <w:w w:val="105"/>
        </w:rPr>
        <w:t> conservant l’essentiel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l’information.</w:t>
      </w:r>
      <w:r>
        <w:rPr>
          <w:spacing w:val="-10"/>
          <w:w w:val="105"/>
        </w:rPr>
        <w:t> </w:t>
      </w:r>
      <w:r>
        <w:rPr>
          <w:w w:val="105"/>
        </w:rPr>
        <w:t>Elle</w:t>
      </w:r>
      <w:r>
        <w:rPr>
          <w:spacing w:val="-10"/>
          <w:w w:val="105"/>
        </w:rPr>
        <w:t> </w:t>
      </w:r>
      <w:r>
        <w:rPr>
          <w:w w:val="105"/>
        </w:rPr>
        <w:t>transforme</w:t>
      </w:r>
      <w:r>
        <w:rPr>
          <w:spacing w:val="-10"/>
          <w:w w:val="105"/>
        </w:rPr>
        <w:t> </w:t>
      </w:r>
      <w:r>
        <w:rPr>
          <w:w w:val="105"/>
        </w:rPr>
        <w:t>un</w:t>
      </w:r>
      <w:r>
        <w:rPr>
          <w:spacing w:val="-10"/>
          <w:w w:val="105"/>
        </w:rPr>
        <w:t> </w:t>
      </w:r>
      <w:r>
        <w:rPr>
          <w:w w:val="105"/>
        </w:rPr>
        <w:t>ensemble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variables</w:t>
      </w:r>
      <w:r>
        <w:rPr>
          <w:spacing w:val="-10"/>
          <w:w w:val="105"/>
        </w:rPr>
        <w:t> </w:t>
      </w:r>
      <w:r>
        <w:rPr>
          <w:w w:val="105"/>
        </w:rPr>
        <w:t>initiales</w:t>
      </w:r>
      <w:r>
        <w:rPr>
          <w:spacing w:val="-10"/>
          <w:w w:val="105"/>
        </w:rPr>
        <w:t> </w:t>
      </w:r>
      <w:r>
        <w:rPr>
          <w:w w:val="105"/>
        </w:rPr>
        <w:t>corré- lées en un nouveau jeu de variables orthogonales appelées composantes principales </w:t>
      </w:r>
      <w:r>
        <w:rPr>
          <w:spacing w:val="-4"/>
          <w:w w:val="105"/>
        </w:rPr>
        <w:t>(CP).</w:t>
      </w:r>
    </w:p>
    <w:p>
      <w:pPr>
        <w:spacing w:line="256" w:lineRule="auto" w:before="0"/>
        <w:ind w:left="727" w:right="851" w:firstLine="0"/>
        <w:jc w:val="both"/>
        <w:rPr>
          <w:sz w:val="24"/>
        </w:rPr>
      </w:pPr>
      <w:r>
        <w:rPr>
          <w:sz w:val="24"/>
        </w:rPr>
        <w:t>Soit</w:t>
      </w:r>
      <w:r>
        <w:rPr>
          <w:spacing w:val="-10"/>
          <w:sz w:val="24"/>
        </w:rPr>
        <w:t> 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w w:val="125"/>
          <w:sz w:val="24"/>
        </w:rPr>
        <w:t> </w:t>
      </w:r>
      <w:r>
        <w:rPr>
          <w:rFonts w:ascii="Georgia" w:hAnsi="Georgia"/>
          <w:b/>
          <w:sz w:val="24"/>
        </w:rPr>
        <w:t>la matrice des observations centrées</w:t>
      </w:r>
      <w:r>
        <w:rPr>
          <w:sz w:val="24"/>
        </w:rPr>
        <w:t>, de dimension </w:t>
      </w:r>
      <w:r>
        <w:rPr>
          <w:rFonts w:ascii="Calibri" w:hAnsi="Calibri"/>
          <w:i/>
          <w:sz w:val="24"/>
        </w:rPr>
        <w:t>n</w:t>
      </w:r>
      <w:r>
        <w:rPr>
          <w:rFonts w:ascii="Calibri" w:hAnsi="Calibri"/>
          <w:i/>
          <w:spacing w:val="-11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rFonts w:ascii="Calibri" w:hAnsi="Calibri"/>
          <w:i/>
          <w:sz w:val="24"/>
        </w:rPr>
        <w:t>p</w:t>
      </w:r>
      <w:r>
        <w:rPr>
          <w:sz w:val="24"/>
        </w:rPr>
        <w:t>. Après stan- dardisation,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40"/>
          <w:sz w:val="24"/>
        </w:rPr>
        <w:t> </w:t>
      </w:r>
      <w:r>
        <w:rPr>
          <w:sz w:val="24"/>
        </w:rPr>
        <w:t>obtient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matrice</w:t>
      </w:r>
      <w:r>
        <w:rPr>
          <w:spacing w:val="40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Z</w:t>
      </w:r>
      <w:r>
        <w:rPr>
          <w:rFonts w:ascii="Calibri" w:hAnsi="Calibri"/>
          <w:i/>
          <w:spacing w:val="40"/>
          <w:w w:val="125"/>
          <w:sz w:val="24"/>
        </w:rPr>
        <w:t> </w:t>
      </w:r>
      <w:r>
        <w:rPr>
          <w:sz w:val="24"/>
        </w:rPr>
        <w:t>où</w:t>
      </w:r>
      <w:r>
        <w:rPr>
          <w:spacing w:val="40"/>
          <w:sz w:val="24"/>
        </w:rPr>
        <w:t> </w:t>
      </w:r>
      <w:r>
        <w:rPr>
          <w:sz w:val="24"/>
        </w:rPr>
        <w:t>:</w:t>
      </w:r>
    </w:p>
    <w:p>
      <w:pPr>
        <w:spacing w:line="271" w:lineRule="exact" w:before="222"/>
        <w:ind w:left="477" w:right="0" w:firstLine="0"/>
        <w:jc w:val="center"/>
        <w:rPr>
          <w:rFonts w:ascii="Calibri" w:hAnsi="Calibri"/>
          <w:i/>
          <w:position w:val="-3"/>
          <w:sz w:val="16"/>
        </w:rPr>
      </w:pPr>
      <w:r>
        <w:rPr>
          <w:rFonts w:ascii="Calibri" w:hAnsi="Calibri"/>
          <w:i/>
          <w:color w:val="0000B2"/>
          <w:w w:val="140"/>
          <w:sz w:val="24"/>
        </w:rPr>
        <w:t>X</w:t>
      </w:r>
      <w:r>
        <w:rPr>
          <w:rFonts w:ascii="Calibri" w:hAnsi="Calibri"/>
          <w:i/>
          <w:color w:val="0000B2"/>
          <w:w w:val="140"/>
          <w:sz w:val="24"/>
          <w:vertAlign w:val="subscript"/>
        </w:rPr>
        <w:t>ij</w:t>
      </w:r>
      <w:r>
        <w:rPr>
          <w:rFonts w:ascii="Calibri" w:hAnsi="Calibri"/>
          <w:i/>
          <w:color w:val="0000B2"/>
          <w:spacing w:val="-9"/>
          <w:w w:val="140"/>
          <w:sz w:val="24"/>
          <w:vertAlign w:val="baseline"/>
        </w:rPr>
        <w:t> </w:t>
      </w:r>
      <w:r>
        <w:rPr>
          <w:rFonts w:ascii="Lucida Sans Unicode" w:hAnsi="Lucida Sans Unicode"/>
          <w:color w:val="0000B2"/>
          <w:w w:val="120"/>
          <w:sz w:val="24"/>
          <w:vertAlign w:val="baseline"/>
        </w:rPr>
        <w:t>−</w:t>
      </w:r>
      <w:r>
        <w:rPr>
          <w:rFonts w:ascii="Lucida Sans Unicode" w:hAnsi="Lucida Sans Unicode"/>
          <w:color w:val="0000B2"/>
          <w:spacing w:val="-38"/>
          <w:w w:val="120"/>
          <w:sz w:val="24"/>
          <w:vertAlign w:val="baseline"/>
        </w:rPr>
        <w:t> </w:t>
      </w:r>
      <w:r>
        <w:rPr>
          <w:rFonts w:ascii="Calibri" w:hAnsi="Calibri"/>
          <w:i/>
          <w:color w:val="0000B2"/>
          <w:spacing w:val="-93"/>
          <w:w w:val="143"/>
          <w:sz w:val="24"/>
          <w:vertAlign w:val="baseline"/>
        </w:rPr>
        <w:t>X</w:t>
      </w:r>
      <w:r>
        <w:rPr>
          <w:rFonts w:ascii="Calibri" w:hAnsi="Calibri"/>
          <w:color w:val="0000B2"/>
          <w:spacing w:val="43"/>
          <w:w w:val="111"/>
          <w:position w:val="6"/>
          <w:sz w:val="24"/>
          <w:vertAlign w:val="baseline"/>
        </w:rPr>
        <w:t>¯</w:t>
      </w:r>
      <w:r>
        <w:rPr>
          <w:rFonts w:ascii="Calibri" w:hAnsi="Calibri"/>
          <w:i/>
          <w:color w:val="0000B2"/>
          <w:spacing w:val="34"/>
          <w:w w:val="166"/>
          <w:position w:val="-3"/>
          <w:sz w:val="16"/>
          <w:vertAlign w:val="baseline"/>
        </w:rPr>
        <w:t>j</w:t>
      </w:r>
    </w:p>
    <w:p>
      <w:pPr>
        <w:spacing w:line="236" w:lineRule="exact" w:before="0"/>
        <w:ind w:left="142" w:right="1291" w:firstLine="0"/>
        <w:jc w:val="center"/>
        <w:rPr>
          <w:rFonts w:ascii="Calibri"/>
          <w:sz w:val="24"/>
        </w:rPr>
      </w:pP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3872700</wp:posOffset>
                </wp:positionH>
                <wp:positionV relativeFrom="paragraph">
                  <wp:posOffset>76048</wp:posOffset>
                </wp:positionV>
                <wp:extent cx="58039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80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" h="0">
                              <a:moveTo>
                                <a:pt x="0" y="0"/>
                              </a:moveTo>
                              <a:lnTo>
                                <a:pt x="580263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304.937012pt,5.988055pt" to="350.627012pt,5.988055pt" stroked="true" strokeweight=".478pt" strokecolor="#0000b2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4092752</wp:posOffset>
                </wp:positionH>
                <wp:positionV relativeFrom="paragraph">
                  <wp:posOffset>104288</wp:posOffset>
                </wp:positionV>
                <wp:extent cx="84455" cy="1524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844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0000B2"/>
                                <w:spacing w:val="-10"/>
                                <w:sz w:val="24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264008pt;margin-top:8.211656pt;width:6.65pt;height:12pt;mso-position-horizontal-relative:page;mso-position-vertical-relative:paragraph;z-index:15738368" type="#_x0000_t202" id="docshape11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color w:val="0000B2"/>
                          <w:spacing w:val="-10"/>
                          <w:sz w:val="24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color w:val="0000B2"/>
          <w:w w:val="155"/>
          <w:sz w:val="24"/>
        </w:rPr>
        <w:t>Z</w:t>
      </w:r>
      <w:r>
        <w:rPr>
          <w:rFonts w:ascii="Calibri"/>
          <w:i/>
          <w:color w:val="0000B2"/>
          <w:w w:val="155"/>
          <w:sz w:val="24"/>
          <w:vertAlign w:val="subscript"/>
        </w:rPr>
        <w:t>ij</w:t>
      </w:r>
      <w:r>
        <w:rPr>
          <w:rFonts w:ascii="Calibri"/>
          <w:i/>
          <w:color w:val="0000B2"/>
          <w:spacing w:val="-5"/>
          <w:w w:val="155"/>
          <w:sz w:val="24"/>
          <w:vertAlign w:val="baseline"/>
        </w:rPr>
        <w:t> </w:t>
      </w:r>
      <w:r>
        <w:rPr>
          <w:rFonts w:ascii="Calibri"/>
          <w:color w:val="0000B2"/>
          <w:spacing w:val="-10"/>
          <w:w w:val="155"/>
          <w:sz w:val="24"/>
          <w:vertAlign w:val="baseline"/>
        </w:rPr>
        <w:t>=</w:t>
      </w:r>
    </w:p>
    <w:p>
      <w:pPr>
        <w:spacing w:line="187" w:lineRule="exact" w:before="0"/>
        <w:ind w:left="610" w:right="0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color w:val="0000B2"/>
          <w:spacing w:val="-10"/>
          <w:w w:val="180"/>
          <w:sz w:val="16"/>
        </w:rPr>
        <w:t>j</w:t>
      </w:r>
    </w:p>
    <w:p>
      <w:pPr>
        <w:spacing w:before="150"/>
        <w:ind w:left="727" w:right="0" w:firstLine="0"/>
        <w:jc w:val="left"/>
        <w:rPr>
          <w:sz w:val="24"/>
        </w:rPr>
      </w:pP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z w:val="24"/>
        </w:rPr>
        <w:t>matrice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corrélation</w:t>
      </w:r>
      <w:r>
        <w:rPr>
          <w:rFonts w:ascii="Georgia" w:hAnsi="Georgia"/>
          <w:b/>
          <w:spacing w:val="2"/>
          <w:sz w:val="24"/>
        </w:rPr>
        <w:t> </w:t>
      </w:r>
      <w:r>
        <w:rPr>
          <w:sz w:val="24"/>
        </w:rPr>
        <w:t>des</w:t>
      </w:r>
      <w:r>
        <w:rPr>
          <w:spacing w:val="4"/>
          <w:sz w:val="24"/>
        </w:rPr>
        <w:t> </w:t>
      </w:r>
      <w:r>
        <w:rPr>
          <w:sz w:val="24"/>
        </w:rPr>
        <w:t>variables</w:t>
      </w:r>
      <w:r>
        <w:rPr>
          <w:spacing w:val="4"/>
          <w:sz w:val="24"/>
        </w:rPr>
        <w:t> </w:t>
      </w:r>
      <w:r>
        <w:rPr>
          <w:sz w:val="24"/>
        </w:rPr>
        <w:t>standardisées</w:t>
      </w:r>
      <w:r>
        <w:rPr>
          <w:spacing w:val="4"/>
          <w:sz w:val="24"/>
        </w:rPr>
        <w:t> </w:t>
      </w:r>
      <w:r>
        <w:rPr>
          <w:sz w:val="24"/>
        </w:rPr>
        <w:t>est</w:t>
      </w:r>
      <w:r>
        <w:rPr>
          <w:spacing w:val="4"/>
          <w:sz w:val="24"/>
        </w:rPr>
        <w:t> </w:t>
      </w:r>
      <w:r>
        <w:rPr>
          <w:sz w:val="24"/>
        </w:rPr>
        <w:t>définie</w:t>
      </w:r>
      <w:r>
        <w:rPr>
          <w:spacing w:val="4"/>
          <w:sz w:val="24"/>
        </w:rPr>
        <w:t> </w:t>
      </w:r>
      <w:r>
        <w:rPr>
          <w:sz w:val="24"/>
        </w:rPr>
        <w:t>par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20"/>
          <w:pgSz w:w="11910" w:h="16840"/>
          <w:pgMar w:header="657" w:footer="0" w:top="1340" w:bottom="280" w:left="1275" w:right="566"/>
        </w:sectPr>
      </w:pPr>
    </w:p>
    <w:p>
      <w:pPr>
        <w:pStyle w:val="BodyText"/>
        <w:spacing w:line="229" w:lineRule="exact" w:before="51"/>
        <w:ind w:right="213"/>
        <w:jc w:val="right"/>
        <w:rPr>
          <w:rFonts w:ascii="Calibri"/>
        </w:rPr>
      </w:pPr>
      <w:r>
        <w:rPr>
          <w:rFonts w:ascii="Calibri"/>
          <w:color w:val="0000B2"/>
          <w:spacing w:val="-10"/>
        </w:rPr>
        <w:t>1</w:t>
      </w:r>
    </w:p>
    <w:p>
      <w:pPr>
        <w:spacing w:line="240" w:lineRule="auto" w:before="0"/>
        <w:ind w:left="0" w:right="0" w:firstLine="0"/>
        <w:jc w:val="righ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3794099</wp:posOffset>
                </wp:positionH>
                <wp:positionV relativeFrom="paragraph">
                  <wp:posOffset>64329</wp:posOffset>
                </wp:positionV>
                <wp:extent cx="34925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349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" h="0">
                              <a:moveTo>
                                <a:pt x="0" y="0"/>
                              </a:moveTo>
                              <a:lnTo>
                                <a:pt x="348640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B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47616" from="298.747986pt,5.065341pt" to="326.199986pt,5.065341pt" stroked="true" strokeweight=".478pt" strokecolor="#0000b2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color w:val="0000B2"/>
          <w:w w:val="125"/>
          <w:position w:val="16"/>
          <w:sz w:val="24"/>
        </w:rPr>
        <w:t>R</w:t>
      </w:r>
      <w:r>
        <w:rPr>
          <w:rFonts w:ascii="Calibri" w:hAnsi="Calibri"/>
          <w:i/>
          <w:color w:val="0000B2"/>
          <w:spacing w:val="-2"/>
          <w:w w:val="125"/>
          <w:position w:val="16"/>
          <w:sz w:val="24"/>
        </w:rPr>
        <w:t> </w:t>
      </w:r>
      <w:r>
        <w:rPr>
          <w:rFonts w:ascii="Calibri" w:hAnsi="Calibri"/>
          <w:color w:val="0000B2"/>
          <w:w w:val="135"/>
          <w:position w:val="16"/>
          <w:sz w:val="24"/>
        </w:rPr>
        <w:t>=</w:t>
      </w:r>
      <w:r>
        <w:rPr>
          <w:rFonts w:ascii="Calibri" w:hAnsi="Calibri"/>
          <w:color w:val="0000B2"/>
          <w:spacing w:val="14"/>
          <w:w w:val="135"/>
          <w:position w:val="16"/>
          <w:sz w:val="24"/>
        </w:rPr>
        <w:t> </w:t>
      </w:r>
      <w:r>
        <w:rPr>
          <w:rFonts w:ascii="Calibri" w:hAnsi="Calibri"/>
          <w:i/>
          <w:color w:val="0000B2"/>
          <w:w w:val="125"/>
          <w:sz w:val="24"/>
        </w:rPr>
        <w:t>n</w:t>
      </w:r>
      <w:r>
        <w:rPr>
          <w:rFonts w:ascii="Calibri" w:hAnsi="Calibri"/>
          <w:i/>
          <w:color w:val="0000B2"/>
          <w:spacing w:val="-17"/>
          <w:w w:val="125"/>
          <w:sz w:val="24"/>
        </w:rPr>
        <w:t> </w:t>
      </w:r>
      <w:r>
        <w:rPr>
          <w:rFonts w:ascii="Lucida Sans Unicode" w:hAnsi="Lucida Sans Unicode"/>
          <w:color w:val="0000B2"/>
          <w:w w:val="110"/>
          <w:sz w:val="24"/>
        </w:rPr>
        <w:t>−</w:t>
      </w:r>
      <w:r>
        <w:rPr>
          <w:rFonts w:ascii="Lucida Sans Unicode" w:hAnsi="Lucida Sans Unicode"/>
          <w:color w:val="0000B2"/>
          <w:spacing w:val="-30"/>
          <w:w w:val="110"/>
          <w:sz w:val="24"/>
        </w:rPr>
        <w:t> </w:t>
      </w:r>
      <w:r>
        <w:rPr>
          <w:rFonts w:ascii="Calibri" w:hAnsi="Calibri"/>
          <w:color w:val="0000B2"/>
          <w:spacing w:val="-12"/>
          <w:w w:val="110"/>
          <w:sz w:val="24"/>
        </w:rPr>
        <w:t>1</w:t>
      </w:r>
    </w:p>
    <w:p>
      <w:pPr>
        <w:spacing w:before="213"/>
        <w:ind w:left="0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color w:val="0000B2"/>
          <w:w w:val="135"/>
          <w:sz w:val="24"/>
        </w:rPr>
        <w:t>Z</w:t>
      </w:r>
      <w:r>
        <w:rPr>
          <w:rFonts w:ascii="Calibri"/>
          <w:i/>
          <w:color w:val="0000B2"/>
          <w:w w:val="135"/>
          <w:sz w:val="24"/>
          <w:vertAlign w:val="superscript"/>
        </w:rPr>
        <w:t>T</w:t>
      </w:r>
      <w:r>
        <w:rPr>
          <w:rFonts w:ascii="Calibri"/>
          <w:i/>
          <w:color w:val="0000B2"/>
          <w:spacing w:val="-23"/>
          <w:w w:val="135"/>
          <w:sz w:val="24"/>
          <w:vertAlign w:val="baseline"/>
        </w:rPr>
        <w:t> </w:t>
      </w:r>
      <w:r>
        <w:rPr>
          <w:rFonts w:ascii="Calibri"/>
          <w:i/>
          <w:color w:val="0000B2"/>
          <w:spacing w:val="-10"/>
          <w:w w:val="135"/>
          <w:sz w:val="24"/>
          <w:vertAlign w:val="baseline"/>
        </w:rPr>
        <w:t>Z</w:t>
      </w:r>
    </w:p>
    <w:p>
      <w:pPr>
        <w:spacing w:after="0"/>
        <w:jc w:val="left"/>
        <w:rPr>
          <w:rFonts w:ascii="Calibri"/>
          <w:i/>
          <w:sz w:val="24"/>
        </w:rPr>
        <w:sectPr>
          <w:type w:val="continuous"/>
          <w:pgSz w:w="11910" w:h="16840"/>
          <w:pgMar w:header="657" w:footer="0" w:top="1620" w:bottom="280" w:left="1275" w:right="566"/>
          <w:cols w:num="2" w:equalWidth="0">
            <w:col w:w="5249" w:space="24"/>
            <w:col w:w="4796"/>
          </w:cols>
        </w:sectPr>
      </w:pPr>
    </w:p>
    <w:p>
      <w:pPr>
        <w:pStyle w:val="BodyText"/>
        <w:spacing w:before="3"/>
        <w:ind w:left="727"/>
      </w:pPr>
      <w:r>
        <w:rPr>
          <w:rFonts w:ascii="Georgia" w:hAnsi="Georgia"/>
          <w:b/>
          <w:w w:val="105"/>
        </w:rPr>
        <w:t>L’ACP</w:t>
      </w:r>
      <w:r>
        <w:rPr>
          <w:rFonts w:ascii="Georgia" w:hAnsi="Georgia"/>
          <w:b/>
          <w:spacing w:val="22"/>
          <w:w w:val="105"/>
        </w:rPr>
        <w:t> </w:t>
      </w:r>
      <w:r>
        <w:rPr>
          <w:w w:val="105"/>
        </w:rPr>
        <w:t>consiste</w:t>
      </w:r>
      <w:r>
        <w:rPr>
          <w:spacing w:val="12"/>
          <w:w w:val="105"/>
        </w:rPr>
        <w:t> </w:t>
      </w:r>
      <w:r>
        <w:rPr>
          <w:w w:val="105"/>
        </w:rPr>
        <w:t>à</w:t>
      </w:r>
      <w:r>
        <w:rPr>
          <w:spacing w:val="14"/>
          <w:w w:val="105"/>
        </w:rPr>
        <w:t> </w:t>
      </w:r>
      <w:r>
        <w:rPr>
          <w:w w:val="105"/>
        </w:rPr>
        <w:t>diagonaliser</w:t>
      </w:r>
      <w:r>
        <w:rPr>
          <w:spacing w:val="13"/>
          <w:w w:val="105"/>
        </w:rPr>
        <w:t> </w:t>
      </w:r>
      <w:r>
        <w:rPr>
          <w:w w:val="105"/>
        </w:rPr>
        <w:t>cette</w:t>
      </w:r>
      <w:r>
        <w:rPr>
          <w:spacing w:val="12"/>
          <w:w w:val="105"/>
        </w:rPr>
        <w:t> </w:t>
      </w:r>
      <w:r>
        <w:rPr>
          <w:w w:val="105"/>
        </w:rPr>
        <w:t>matrice</w:t>
      </w:r>
      <w:r>
        <w:rPr>
          <w:spacing w:val="12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spacing w:after="0"/>
        <w:sectPr>
          <w:type w:val="continuous"/>
          <w:pgSz w:w="11910" w:h="16840"/>
          <w:pgMar w:header="657" w:footer="0" w:top="1620" w:bottom="280" w:left="1275" w:right="566"/>
        </w:sectPr>
      </w:pPr>
    </w:p>
    <w:p>
      <w:pPr>
        <w:pStyle w:val="BodyText"/>
        <w:spacing w:before="169"/>
      </w:pPr>
    </w:p>
    <w:p>
      <w:pPr>
        <w:spacing w:before="0"/>
        <w:ind w:left="0" w:right="131" w:firstLine="0"/>
        <w:jc w:val="center"/>
        <w:rPr>
          <w:rFonts w:ascii="Calibri" w:hAnsi="Calibri"/>
          <w:sz w:val="24"/>
        </w:rPr>
      </w:pPr>
      <w:r>
        <w:rPr>
          <w:rFonts w:ascii="Calibri" w:hAnsi="Calibri"/>
          <w:i/>
          <w:color w:val="0000B2"/>
          <w:w w:val="135"/>
          <w:sz w:val="24"/>
        </w:rPr>
        <w:t>R</w:t>
      </w:r>
      <w:r>
        <w:rPr>
          <w:rFonts w:ascii="Calibri" w:hAnsi="Calibri"/>
          <w:i/>
          <w:color w:val="0000B2"/>
          <w:spacing w:val="5"/>
          <w:w w:val="135"/>
          <w:sz w:val="24"/>
        </w:rPr>
        <w:t> </w:t>
      </w:r>
      <w:r>
        <w:rPr>
          <w:rFonts w:ascii="Calibri" w:hAnsi="Calibri"/>
          <w:color w:val="0000B2"/>
          <w:w w:val="135"/>
          <w:sz w:val="24"/>
        </w:rPr>
        <w:t>=</w:t>
      </w:r>
      <w:r>
        <w:rPr>
          <w:rFonts w:ascii="Calibri" w:hAnsi="Calibri"/>
          <w:color w:val="0000B2"/>
          <w:spacing w:val="4"/>
          <w:w w:val="135"/>
          <w:sz w:val="24"/>
        </w:rPr>
        <w:t> </w:t>
      </w:r>
      <w:r>
        <w:rPr>
          <w:rFonts w:ascii="Calibri" w:hAnsi="Calibri"/>
          <w:i/>
          <w:color w:val="0000B2"/>
          <w:spacing w:val="12"/>
          <w:w w:val="135"/>
          <w:sz w:val="24"/>
        </w:rPr>
        <w:t>PDP</w:t>
      </w:r>
      <w:r>
        <w:rPr>
          <w:rFonts w:ascii="Arial" w:hAnsi="Arial"/>
          <w:i/>
          <w:color w:val="0000B2"/>
          <w:spacing w:val="12"/>
          <w:w w:val="135"/>
          <w:sz w:val="24"/>
          <w:vertAlign w:val="superscript"/>
        </w:rPr>
        <w:t>−</w:t>
      </w:r>
      <w:r>
        <w:rPr>
          <w:rFonts w:ascii="Calibri" w:hAnsi="Calibri"/>
          <w:color w:val="0000B2"/>
          <w:spacing w:val="12"/>
          <w:w w:val="135"/>
          <w:sz w:val="24"/>
          <w:vertAlign w:val="superscript"/>
        </w:rPr>
        <w:t>1</w:t>
      </w:r>
    </w:p>
    <w:p>
      <w:pPr>
        <w:pStyle w:val="BodyText"/>
        <w:spacing w:before="272"/>
        <w:ind w:left="727"/>
      </w:pPr>
      <w:r>
        <w:rPr/>
        <w:t>où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4"/>
        </w:numPr>
        <w:tabs>
          <w:tab w:pos="1242" w:val="left" w:leader="none"/>
        </w:tabs>
        <w:spacing w:line="266" w:lineRule="auto" w:before="243" w:after="0"/>
        <w:ind w:left="1242" w:right="849" w:hanging="352"/>
        <w:jc w:val="left"/>
        <w:rPr>
          <w:sz w:val="24"/>
        </w:rPr>
      </w:pPr>
      <w:r>
        <w:rPr>
          <w:rFonts w:ascii="Georgia" w:hAnsi="Georgia"/>
          <w:b/>
          <w:sz w:val="24"/>
        </w:rPr>
        <w:t>D</w:t>
      </w:r>
      <w:r>
        <w:rPr>
          <w:rFonts w:ascii="Georgia" w:hAnsi="Georgia"/>
          <w:b/>
          <w:spacing w:val="26"/>
          <w:w w:val="125"/>
          <w:sz w:val="24"/>
        </w:rPr>
        <w:t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35"/>
          <w:w w:val="125"/>
          <w:sz w:val="24"/>
        </w:rPr>
        <w:t> </w:t>
      </w:r>
      <w:r>
        <w:rPr>
          <w:rFonts w:ascii="Calibri" w:hAnsi="Calibri"/>
          <w:sz w:val="24"/>
        </w:rPr>
        <w:t>diag(</w:t>
      </w: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sz w:val="24"/>
          <w:vertAlign w:val="subscript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rFonts w:ascii="Calibri" w:hAnsi="Calibri"/>
          <w:i/>
          <w:spacing w:val="-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λ</w:t>
      </w:r>
      <w:r>
        <w:rPr>
          <w:rFonts w:ascii="Calibri" w:hAnsi="Calibri"/>
          <w:sz w:val="24"/>
          <w:vertAlign w:val="subscript"/>
        </w:rPr>
        <w:t>2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rFonts w:ascii="Calibri" w:hAnsi="Calibri"/>
          <w:i/>
          <w:spacing w:val="-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.</w:t>
      </w:r>
      <w:r>
        <w:rPr>
          <w:rFonts w:ascii="Calibri" w:hAnsi="Calibri"/>
          <w:i/>
          <w:spacing w:val="-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.</w:t>
      </w:r>
      <w:r>
        <w:rPr>
          <w:rFonts w:ascii="Calibri" w:hAnsi="Calibri"/>
          <w:i/>
          <w:spacing w:val="-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.</w:t>
      </w:r>
      <w:r>
        <w:rPr>
          <w:rFonts w:ascii="Calibri" w:hAnsi="Calibri"/>
          <w:i/>
          <w:spacing w:val="-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rFonts w:ascii="Calibri" w:hAnsi="Calibri"/>
          <w:i/>
          <w:spacing w:val="-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λ</w:t>
      </w:r>
      <w:r>
        <w:rPr>
          <w:rFonts w:ascii="Calibri" w:hAnsi="Calibri"/>
          <w:i/>
          <w:sz w:val="24"/>
          <w:vertAlign w:val="subscript"/>
        </w:rPr>
        <w:t>p</w:t>
      </w:r>
      <w:r>
        <w:rPr>
          <w:rFonts w:ascii="Calibri" w:hAnsi="Calibri"/>
          <w:sz w:val="24"/>
          <w:vertAlign w:val="baseline"/>
        </w:rPr>
        <w:t>)</w:t>
      </w:r>
      <w:r>
        <w:rPr>
          <w:rFonts w:ascii="Calibri" w:hAnsi="Calibri"/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matrice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diagonale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des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valeurs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propres,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classées par ordre décroissant (</w:t>
      </w:r>
      <w:r>
        <w:rPr>
          <w:rFonts w:ascii="Calibri" w:hAnsi="Calibri"/>
          <w:i/>
          <w:sz w:val="24"/>
          <w:vertAlign w:val="baseline"/>
        </w:rPr>
        <w:t>λ</w:t>
      </w:r>
      <w:r>
        <w:rPr>
          <w:rFonts w:ascii="Calibri" w:hAnsi="Calibri"/>
          <w:sz w:val="24"/>
          <w:vertAlign w:val="subscript"/>
        </w:rPr>
        <w:t>1</w:t>
      </w:r>
      <w:r>
        <w:rPr>
          <w:rFonts w:ascii="Calibri" w:hAnsi="Calibri"/>
          <w:spacing w:val="38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≥ </w:t>
      </w:r>
      <w:r>
        <w:rPr>
          <w:rFonts w:ascii="Calibri" w:hAnsi="Calibri"/>
          <w:i/>
          <w:sz w:val="24"/>
          <w:vertAlign w:val="baseline"/>
        </w:rPr>
        <w:t>λ</w:t>
      </w:r>
      <w:r>
        <w:rPr>
          <w:rFonts w:ascii="Calibri" w:hAnsi="Calibri"/>
          <w:sz w:val="24"/>
          <w:vertAlign w:val="subscript"/>
        </w:rPr>
        <w:t>2</w:t>
      </w:r>
      <w:r>
        <w:rPr>
          <w:rFonts w:ascii="Calibri" w:hAnsi="Calibri"/>
          <w:spacing w:val="38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≥ </w:t>
      </w:r>
      <w:r>
        <w:rPr>
          <w:rFonts w:ascii="Lucida Sans Unicode" w:hAnsi="Lucida Sans Unicode"/>
          <w:w w:val="85"/>
          <w:sz w:val="24"/>
          <w:vertAlign w:val="baseline"/>
        </w:rPr>
        <w:t>·</w:t>
      </w:r>
      <w:r>
        <w:rPr>
          <w:rFonts w:ascii="Lucida Sans Unicode" w:hAnsi="Lucida Sans Unicode"/>
          <w:spacing w:val="-18"/>
          <w:w w:val="85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4"/>
          <w:vertAlign w:val="baseline"/>
        </w:rPr>
        <w:t>·</w:t>
      </w:r>
      <w:r>
        <w:rPr>
          <w:rFonts w:ascii="Lucida Sans Unicode" w:hAnsi="Lucida Sans Unicode"/>
          <w:spacing w:val="-17"/>
          <w:w w:val="85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4"/>
          <w:vertAlign w:val="baseline"/>
        </w:rPr>
        <w:t>·</w:t>
      </w:r>
      <w:r>
        <w:rPr>
          <w:rFonts w:ascii="Lucida Sans Unicode" w:hAnsi="Lucida Sans Unicode"/>
          <w:spacing w:val="-17"/>
          <w:w w:val="85"/>
          <w:sz w:val="24"/>
          <w:vertAlign w:val="baseline"/>
        </w:rPr>
        <w:t> </w:t>
      </w:r>
      <w:r>
        <w:rPr>
          <w:sz w:val="24"/>
          <w:vertAlign w:val="baseline"/>
        </w:rPr>
        <w:t>).</w:t>
      </w:r>
    </w:p>
    <w:p>
      <w:pPr>
        <w:pStyle w:val="ListParagraph"/>
        <w:numPr>
          <w:ilvl w:val="0"/>
          <w:numId w:val="4"/>
        </w:numPr>
        <w:tabs>
          <w:tab w:pos="1242" w:val="left" w:leader="none"/>
        </w:tabs>
        <w:spacing w:line="312" w:lineRule="auto" w:before="28" w:after="0"/>
        <w:ind w:left="1242" w:right="849" w:hanging="35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P</w:t>
      </w:r>
      <w:r>
        <w:rPr>
          <w:rFonts w:ascii="Georgia" w:hAnsi="Georgia"/>
          <w:b/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matrice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vecteurs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propres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correspondants,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représentant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axes </w:t>
      </w:r>
      <w:r>
        <w:rPr>
          <w:spacing w:val="-2"/>
          <w:w w:val="105"/>
          <w:sz w:val="24"/>
        </w:rPr>
        <w:t>principaux.</w:t>
      </w:r>
    </w:p>
    <w:p>
      <w:pPr>
        <w:pStyle w:val="BodyText"/>
        <w:spacing w:line="292" w:lineRule="auto" w:before="159"/>
        <w:ind w:left="727" w:right="775"/>
      </w:pPr>
      <w:r>
        <w:rPr>
          <w:spacing w:val="-2"/>
          <w:w w:val="110"/>
        </w:rPr>
        <w:t>Chaque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valeur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propre</w:t>
      </w:r>
      <w:r>
        <w:rPr>
          <w:spacing w:val="-10"/>
          <w:w w:val="110"/>
        </w:rPr>
        <w:t> </w:t>
      </w:r>
      <w:r>
        <w:rPr>
          <w:rFonts w:ascii="Calibri" w:hAnsi="Calibri"/>
          <w:i/>
          <w:spacing w:val="-2"/>
          <w:w w:val="120"/>
        </w:rPr>
        <w:t>λ</w:t>
      </w:r>
      <w:r>
        <w:rPr>
          <w:rFonts w:ascii="Calibri" w:hAnsi="Calibri"/>
          <w:i/>
          <w:spacing w:val="-2"/>
          <w:w w:val="120"/>
          <w:vertAlign w:val="subscript"/>
        </w:rPr>
        <w:t>j</w:t>
      </w:r>
      <w:r>
        <w:rPr>
          <w:rFonts w:ascii="Calibri" w:hAnsi="Calibri"/>
          <w:i/>
          <w:spacing w:val="4"/>
          <w:w w:val="120"/>
          <w:vertAlign w:val="baseline"/>
        </w:rPr>
        <w:t> </w:t>
      </w:r>
      <w:r>
        <w:rPr>
          <w:spacing w:val="-2"/>
          <w:w w:val="110"/>
          <w:vertAlign w:val="baseline"/>
        </w:rPr>
        <w:t>correspond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à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la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variance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expliquée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par</w:t>
      </w:r>
      <w:r>
        <w:rPr>
          <w:spacing w:val="-11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la</w:t>
      </w:r>
      <w:r>
        <w:rPr>
          <w:spacing w:val="-10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composante </w:t>
      </w:r>
      <w:bookmarkStart w:name="Méthodologie" w:id="8"/>
      <w:bookmarkEnd w:id="8"/>
      <w:r>
        <w:rPr>
          <w:w w:val="110"/>
          <w:vertAlign w:val="baseline"/>
        </w:rPr>
        <w:t>principale</w:t>
      </w:r>
      <w:r>
        <w:rPr>
          <w:w w:val="110"/>
          <w:vertAlign w:val="baseline"/>
        </w:rPr>
        <w:t> </w:t>
      </w:r>
      <w:r>
        <w:rPr>
          <w:rFonts w:ascii="Calibri" w:hAnsi="Calibri"/>
          <w:i/>
          <w:w w:val="120"/>
          <w:vertAlign w:val="baseline"/>
        </w:rPr>
        <w:t>j</w:t>
      </w:r>
      <w:r>
        <w:rPr>
          <w:w w:val="120"/>
          <w:vertAlign w:val="baseline"/>
        </w:rPr>
        <w:t>.</w:t>
      </w:r>
    </w:p>
    <w:p>
      <w:pPr>
        <w:pStyle w:val="BodyText"/>
        <w:spacing w:before="160"/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0" w:after="0"/>
        <w:ind w:left="1446" w:right="0" w:hanging="719"/>
        <w:jc w:val="left"/>
      </w:pPr>
      <w:r>
        <w:rPr>
          <w:color w:val="000066"/>
          <w:spacing w:val="-2"/>
        </w:rPr>
        <w:t>Méthodologie</w:t>
      </w:r>
    </w:p>
    <w:p>
      <w:pPr>
        <w:pStyle w:val="BodyText"/>
        <w:spacing w:line="309" w:lineRule="auto" w:before="269"/>
        <w:ind w:left="727" w:right="849"/>
        <w:jc w:val="both"/>
      </w:pPr>
      <w:r>
        <w:rPr>
          <w:w w:val="105"/>
        </w:rPr>
        <w:t>Dans</w:t>
      </w:r>
      <w:r>
        <w:rPr>
          <w:w w:val="105"/>
        </w:rPr>
        <w:t> cette</w:t>
      </w:r>
      <w:r>
        <w:rPr>
          <w:w w:val="105"/>
        </w:rPr>
        <w:t> étude,</w:t>
      </w:r>
      <w:r>
        <w:rPr>
          <w:w w:val="105"/>
        </w:rPr>
        <w:t> les</w:t>
      </w:r>
      <w:r>
        <w:rPr>
          <w:w w:val="105"/>
        </w:rPr>
        <w:t> variables</w:t>
      </w:r>
      <w:r>
        <w:rPr>
          <w:w w:val="105"/>
        </w:rPr>
        <w:t> ont</w:t>
      </w:r>
      <w:r>
        <w:rPr>
          <w:w w:val="105"/>
        </w:rPr>
        <w:t> été</w:t>
      </w:r>
      <w:r>
        <w:rPr>
          <w:w w:val="105"/>
        </w:rPr>
        <w:t> centrées</w:t>
      </w:r>
      <w:r>
        <w:rPr>
          <w:w w:val="105"/>
        </w:rPr>
        <w:t> et</w:t>
      </w:r>
      <w:r>
        <w:rPr>
          <w:w w:val="105"/>
        </w:rPr>
        <w:t> réduites</w:t>
      </w:r>
      <w:r>
        <w:rPr>
          <w:w w:val="105"/>
        </w:rPr>
        <w:t> avant</w:t>
      </w:r>
      <w:r>
        <w:rPr>
          <w:w w:val="105"/>
        </w:rPr>
        <w:t> l’application</w:t>
      </w:r>
      <w:r>
        <w:rPr>
          <w:w w:val="105"/>
        </w:rPr>
        <w:t> de l’Analyse en Composantes Principales. </w:t>
      </w:r>
      <w:r>
        <w:rPr>
          <w:rFonts w:ascii="Georgia" w:hAnsi="Georgia"/>
          <w:b/>
          <w:w w:val="105"/>
        </w:rPr>
        <w:t>L’ACP </w:t>
      </w:r>
      <w:r>
        <w:rPr>
          <w:w w:val="105"/>
        </w:rPr>
        <w:t>a été réalisée à l’aide de la fonction </w:t>
      </w:r>
      <w:r>
        <w:rPr>
          <w:rFonts w:ascii="Cambria" w:hAnsi="Cambria"/>
          <w:w w:val="105"/>
        </w:rPr>
        <w:t>PCA()</w:t>
      </w:r>
      <w:r>
        <w:rPr>
          <w:rFonts w:ascii="Cambria" w:hAnsi="Cambria"/>
          <w:spacing w:val="28"/>
          <w:w w:val="105"/>
        </w:rPr>
        <w:t> </w:t>
      </w:r>
      <w:r>
        <w:rPr>
          <w:w w:val="105"/>
        </w:rPr>
        <w:t>du package </w:t>
      </w:r>
      <w:r>
        <w:rPr>
          <w:rFonts w:ascii="Cambria" w:hAnsi="Cambria"/>
          <w:w w:val="105"/>
        </w:rPr>
        <w:t>FactoMineR</w:t>
      </w:r>
      <w:r>
        <w:rPr>
          <w:rFonts w:ascii="Cambria" w:hAnsi="Cambria"/>
          <w:spacing w:val="28"/>
          <w:w w:val="105"/>
        </w:rPr>
        <w:t> </w:t>
      </w:r>
      <w:r>
        <w:rPr>
          <w:w w:val="105"/>
        </w:rPr>
        <w:t>avec l’option</w:t>
      </w:r>
      <w:r>
        <w:rPr>
          <w:spacing w:val="80"/>
          <w:w w:val="105"/>
        </w:rPr>
        <w:t>  </w:t>
      </w:r>
      <w:r>
        <w:rPr>
          <w:rFonts w:ascii="Cambria" w:hAnsi="Cambria"/>
          <w:w w:val="105"/>
        </w:rPr>
        <w:t>scale.unit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=</w:t>
      </w:r>
      <w:r>
        <w:rPr>
          <w:rFonts w:ascii="Cambria" w:hAnsi="Cambria"/>
          <w:spacing w:val="40"/>
          <w:w w:val="105"/>
        </w:rPr>
        <w:t> </w:t>
      </w:r>
      <w:r>
        <w:rPr>
          <w:rFonts w:ascii="Cambria" w:hAnsi="Cambria"/>
          <w:w w:val="105"/>
        </w:rPr>
        <w:t>TRUE</w:t>
      </w:r>
      <w:r>
        <w:rPr>
          <w:rFonts w:ascii="Cambria" w:hAnsi="Cambria"/>
          <w:spacing w:val="28"/>
          <w:w w:val="105"/>
        </w:rPr>
        <w:t> </w:t>
      </w:r>
      <w:r>
        <w:rPr>
          <w:w w:val="105"/>
        </w:rPr>
        <w:t>.</w:t>
      </w:r>
    </w:p>
    <w:p>
      <w:pPr>
        <w:pStyle w:val="BodyText"/>
        <w:spacing w:line="312" w:lineRule="auto"/>
        <w:ind w:left="727" w:right="849"/>
        <w:jc w:val="both"/>
      </w:pPr>
      <w:r>
        <w:rPr/>
        <w:t>Les composantes principales sont obtenues comme combinaisons linéaires des va- riables centrées-réduites :</w:t>
      </w:r>
    </w:p>
    <w:p>
      <w:pPr>
        <w:pStyle w:val="BodyText"/>
        <w:spacing w:before="118"/>
      </w:pPr>
    </w:p>
    <w:p>
      <w:pPr>
        <w:spacing w:before="1"/>
        <w:ind w:left="0" w:right="154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color w:val="0000B2"/>
          <w:w w:val="135"/>
          <w:sz w:val="24"/>
        </w:rPr>
        <w:t>Y</w:t>
      </w:r>
      <w:r>
        <w:rPr>
          <w:rFonts w:ascii="Calibri"/>
          <w:i/>
          <w:color w:val="0000B2"/>
          <w:spacing w:val="42"/>
          <w:w w:val="135"/>
          <w:sz w:val="24"/>
        </w:rPr>
        <w:t> </w:t>
      </w:r>
      <w:r>
        <w:rPr>
          <w:rFonts w:ascii="Calibri"/>
          <w:color w:val="0000B2"/>
          <w:w w:val="135"/>
          <w:sz w:val="24"/>
        </w:rPr>
        <w:t>=</w:t>
      </w:r>
      <w:r>
        <w:rPr>
          <w:rFonts w:ascii="Calibri"/>
          <w:color w:val="0000B2"/>
          <w:spacing w:val="-7"/>
          <w:w w:val="135"/>
          <w:sz w:val="24"/>
        </w:rPr>
        <w:t> </w:t>
      </w:r>
      <w:r>
        <w:rPr>
          <w:rFonts w:ascii="Calibri"/>
          <w:i/>
          <w:color w:val="0000B2"/>
          <w:spacing w:val="-7"/>
          <w:w w:val="135"/>
          <w:sz w:val="24"/>
        </w:rPr>
        <w:t>ZP</w:t>
      </w:r>
    </w:p>
    <w:p>
      <w:pPr>
        <w:pStyle w:val="BodyText"/>
        <w:spacing w:line="292" w:lineRule="auto" w:before="267"/>
        <w:ind w:left="727" w:right="849"/>
        <w:jc w:val="both"/>
      </w:pPr>
      <w:r>
        <w:rPr>
          <w:w w:val="110"/>
        </w:rPr>
        <w:t>Chaque</w:t>
      </w:r>
      <w:r>
        <w:rPr>
          <w:spacing w:val="-11"/>
          <w:w w:val="110"/>
        </w:rPr>
        <w:t> </w:t>
      </w:r>
      <w:r>
        <w:rPr>
          <w:w w:val="110"/>
        </w:rPr>
        <w:t>composante</w:t>
      </w:r>
      <w:r>
        <w:rPr>
          <w:spacing w:val="-12"/>
          <w:w w:val="110"/>
        </w:rPr>
        <w:t> </w:t>
      </w:r>
      <w:r>
        <w:rPr>
          <w:rFonts w:ascii="Calibri" w:hAnsi="Calibri"/>
          <w:i/>
          <w:w w:val="125"/>
        </w:rPr>
        <w:t>Y</w:t>
      </w:r>
      <w:r>
        <w:rPr>
          <w:rFonts w:ascii="Calibri" w:hAnsi="Calibri"/>
          <w:i/>
          <w:w w:val="125"/>
          <w:vertAlign w:val="subscript"/>
        </w:rPr>
        <w:t>j</w:t>
      </w:r>
      <w:r>
        <w:rPr>
          <w:rFonts w:ascii="Calibri" w:hAnsi="Calibri"/>
          <w:i/>
          <w:spacing w:val="-1"/>
          <w:w w:val="125"/>
          <w:vertAlign w:val="baseline"/>
        </w:rPr>
        <w:t> </w:t>
      </w:r>
      <w:r>
        <w:rPr>
          <w:w w:val="110"/>
          <w:vertAlign w:val="baseline"/>
        </w:rPr>
        <w:t>est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donc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une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variable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orthogonale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à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toutes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les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autres,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avec une variance égale à </w:t>
      </w:r>
      <w:r>
        <w:rPr>
          <w:rFonts w:ascii="Calibri" w:hAnsi="Calibri"/>
          <w:i/>
          <w:w w:val="125"/>
          <w:vertAlign w:val="baseline"/>
        </w:rPr>
        <w:t>λ</w:t>
      </w:r>
      <w:r>
        <w:rPr>
          <w:rFonts w:ascii="Calibri" w:hAnsi="Calibri"/>
          <w:i/>
          <w:w w:val="125"/>
          <w:vertAlign w:val="subscript"/>
        </w:rPr>
        <w:t>j</w:t>
      </w:r>
      <w:r>
        <w:rPr>
          <w:w w:val="125"/>
          <w:vertAlign w:val="baseline"/>
        </w:rPr>
        <w:t>.</w:t>
      </w:r>
    </w:p>
    <w:p>
      <w:pPr>
        <w:pStyle w:val="BodyText"/>
        <w:spacing w:line="302" w:lineRule="auto" w:before="48"/>
        <w:ind w:left="727" w:right="850"/>
        <w:jc w:val="both"/>
      </w:pPr>
      <w:r>
        <w:rPr>
          <w:w w:val="105"/>
        </w:rPr>
        <w:t>Pour</w:t>
      </w:r>
      <w:r>
        <w:rPr>
          <w:w w:val="105"/>
        </w:rPr>
        <w:t> sélectionner</w:t>
      </w:r>
      <w:r>
        <w:rPr>
          <w:w w:val="105"/>
        </w:rPr>
        <w:t> le</w:t>
      </w:r>
      <w:r>
        <w:rPr>
          <w:w w:val="105"/>
        </w:rPr>
        <w:t> nombre</w:t>
      </w:r>
      <w:r>
        <w:rPr>
          <w:w w:val="105"/>
        </w:rPr>
        <w:t> de</w:t>
      </w:r>
      <w:r>
        <w:rPr>
          <w:w w:val="105"/>
        </w:rPr>
        <w:t> composantes</w:t>
      </w:r>
      <w:r>
        <w:rPr>
          <w:w w:val="105"/>
        </w:rPr>
        <w:t> à</w:t>
      </w:r>
      <w:r>
        <w:rPr>
          <w:w w:val="105"/>
        </w:rPr>
        <w:t> retenir,</w:t>
      </w:r>
      <w:r>
        <w:rPr>
          <w:w w:val="105"/>
        </w:rPr>
        <w:t> </w:t>
      </w:r>
      <w:r>
        <w:rPr>
          <w:rFonts w:ascii="Georgia" w:hAnsi="Georgia"/>
          <w:b/>
          <w:w w:val="105"/>
        </w:rPr>
        <w:t>le</w:t>
      </w:r>
      <w:r>
        <w:rPr>
          <w:rFonts w:ascii="Georgia" w:hAnsi="Georgia"/>
          <w:b/>
          <w:w w:val="105"/>
        </w:rPr>
        <w:t> critère</w:t>
      </w:r>
      <w:r>
        <w:rPr>
          <w:rFonts w:ascii="Georgia" w:hAnsi="Georgia"/>
          <w:b/>
          <w:w w:val="105"/>
        </w:rPr>
        <w:t> de</w:t>
      </w:r>
      <w:r>
        <w:rPr>
          <w:rFonts w:ascii="Georgia" w:hAnsi="Georgia"/>
          <w:b/>
          <w:w w:val="105"/>
        </w:rPr>
        <w:t> Kaiser</w:t>
      </w:r>
      <w:r>
        <w:rPr>
          <w:rFonts w:ascii="Georgia" w:hAnsi="Georgia"/>
          <w:b/>
          <w:w w:val="105"/>
        </w:rPr>
        <w:t> </w:t>
      </w:r>
      <w:r>
        <w:rPr>
          <w:w w:val="105"/>
        </w:rPr>
        <w:t>est appliqué : seules les composantes avec </w:t>
      </w:r>
      <w:r>
        <w:rPr>
          <w:rFonts w:ascii="Calibri" w:hAnsi="Calibri"/>
          <w:i/>
          <w:w w:val="125"/>
        </w:rPr>
        <w:t>λ</w:t>
      </w:r>
      <w:r>
        <w:rPr>
          <w:rFonts w:ascii="Calibri" w:hAnsi="Calibri"/>
          <w:i/>
          <w:w w:val="125"/>
          <w:vertAlign w:val="subscript"/>
        </w:rPr>
        <w:t>j</w:t>
      </w:r>
      <w:r>
        <w:rPr>
          <w:rFonts w:ascii="Calibri" w:hAnsi="Calibri"/>
          <w:i/>
          <w:w w:val="125"/>
          <w:vertAlign w:val="baseline"/>
        </w:rPr>
        <w:t> &gt; </w:t>
      </w:r>
      <w:r>
        <w:rPr>
          <w:rFonts w:ascii="Calibri" w:hAnsi="Calibri"/>
          <w:w w:val="105"/>
          <w:vertAlign w:val="baseline"/>
        </w:rPr>
        <w:t>1</w:t>
      </w:r>
      <w:r>
        <w:rPr>
          <w:rFonts w:ascii="Calibri" w:hAnsi="Calibri"/>
          <w:w w:val="105"/>
          <w:vertAlign w:val="baseline"/>
        </w:rPr>
        <w:t> </w:t>
      </w:r>
      <w:r>
        <w:rPr>
          <w:w w:val="105"/>
          <w:vertAlign w:val="baseline"/>
        </w:rPr>
        <w:t>sont conservées, car elles expliquent plus de variance qu’une variable originale standardisée.</w:t>
      </w:r>
    </w:p>
    <w:p>
      <w:pPr>
        <w:spacing w:before="47"/>
        <w:ind w:left="727" w:right="0" w:firstLine="0"/>
        <w:jc w:val="both"/>
        <w:rPr>
          <w:sz w:val="24"/>
        </w:rPr>
      </w:pP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z w:val="24"/>
        </w:rPr>
        <w:t>part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z w:val="24"/>
        </w:rPr>
        <w:t>variance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z w:val="24"/>
        </w:rPr>
        <w:t>expliquée</w:t>
      </w:r>
      <w:r>
        <w:rPr>
          <w:rFonts w:ascii="Georgia" w:hAnsi="Georgia"/>
          <w:b/>
          <w:spacing w:val="10"/>
          <w:sz w:val="24"/>
        </w:rPr>
        <w:t> </w:t>
      </w:r>
      <w:r>
        <w:rPr>
          <w:sz w:val="24"/>
        </w:rPr>
        <w:t>par</w:t>
      </w:r>
      <w:r>
        <w:rPr>
          <w:spacing w:val="11"/>
          <w:sz w:val="24"/>
        </w:rPr>
        <w:t> </w:t>
      </w:r>
      <w:r>
        <w:rPr>
          <w:sz w:val="24"/>
        </w:rPr>
        <w:t>la</w:t>
      </w:r>
      <w:r>
        <w:rPr>
          <w:spacing w:val="11"/>
          <w:sz w:val="24"/>
        </w:rPr>
        <w:t> </w:t>
      </w:r>
      <w:r>
        <w:rPr>
          <w:sz w:val="24"/>
        </w:rPr>
        <w:t>composante</w:t>
      </w:r>
      <w:r>
        <w:rPr>
          <w:spacing w:val="12"/>
          <w:sz w:val="24"/>
        </w:rPr>
        <w:t> </w:t>
      </w:r>
      <w:r>
        <w:rPr>
          <w:sz w:val="24"/>
        </w:rPr>
        <w:t>principale</w:t>
      </w:r>
      <w:r>
        <w:rPr>
          <w:spacing w:val="-14"/>
          <w:w w:val="140"/>
          <w:sz w:val="24"/>
        </w:rPr>
        <w:t> </w:t>
      </w:r>
      <w:r>
        <w:rPr>
          <w:rFonts w:ascii="Calibri" w:hAnsi="Calibri"/>
          <w:i/>
          <w:w w:val="140"/>
          <w:sz w:val="24"/>
        </w:rPr>
        <w:t>j</w:t>
      </w:r>
      <w:r>
        <w:rPr>
          <w:rFonts w:ascii="Calibri" w:hAnsi="Calibri"/>
          <w:i/>
          <w:spacing w:val="8"/>
          <w:w w:val="140"/>
          <w:sz w:val="24"/>
        </w:rPr>
        <w:t> </w:t>
      </w:r>
      <w:r>
        <w:rPr>
          <w:sz w:val="24"/>
        </w:rPr>
        <w:t>est</w:t>
      </w:r>
      <w:r>
        <w:rPr>
          <w:spacing w:val="10"/>
          <w:sz w:val="24"/>
        </w:rPr>
        <w:t> </w:t>
      </w:r>
      <w:r>
        <w:rPr>
          <w:sz w:val="24"/>
        </w:rPr>
        <w:t>donnée</w:t>
      </w:r>
      <w:r>
        <w:rPr>
          <w:spacing w:val="11"/>
          <w:sz w:val="24"/>
        </w:rPr>
        <w:t> </w:t>
      </w:r>
      <w:r>
        <w:rPr>
          <w:sz w:val="24"/>
        </w:rPr>
        <w:t>par</w:t>
      </w:r>
      <w:r>
        <w:rPr>
          <w:spacing w:val="1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tabs>
          <w:tab w:pos="3670" w:val="left" w:leader="none"/>
        </w:tabs>
        <w:spacing w:before="238"/>
        <w:ind w:right="145"/>
        <w:jc w:val="center"/>
        <w:rPr>
          <w:rFonts w:ascii="Calibri" w:hAnsi="Calibri"/>
          <w:i/>
          <w:position w:val="13"/>
          <w:sz w:val="16"/>
        </w:rPr>
      </w:pPr>
      <w:r>
        <w:rPr>
          <w:rFonts w:ascii="Calibri" w:hAnsi="Calibri"/>
          <w:i/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69888">
                <wp:simplePos x="0" y="0"/>
                <wp:positionH relativeFrom="page">
                  <wp:posOffset>4810010</wp:posOffset>
                </wp:positionH>
                <wp:positionV relativeFrom="paragraph">
                  <wp:posOffset>364132</wp:posOffset>
                </wp:positionV>
                <wp:extent cx="54610" cy="10160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5461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color w:val="0000B2"/>
                                <w:spacing w:val="-10"/>
                                <w:sz w:val="16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8.740997pt;margin-top:28.671825pt;width:4.3pt;height:8pt;mso-position-horizontal-relative:page;mso-position-vertical-relative:paragraph;z-index:-16046592" type="#_x0000_t202" id="docshape1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color w:val="0000B2"/>
                          <w:spacing w:val="-10"/>
                          <w:sz w:val="16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position w:val="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4727422</wp:posOffset>
                </wp:positionH>
                <wp:positionV relativeFrom="paragraph">
                  <wp:posOffset>377913</wp:posOffset>
                </wp:positionV>
                <wp:extent cx="219710" cy="47244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0000B2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238007pt;margin-top:29.757pt;width:17.3pt;height:37.2pt;mso-position-horizontal-relative:page;mso-position-vertical-relative:paragraph;z-index:-16046080" type="#_x0000_t202" id="docshape13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color w:val="0000B2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00B2"/>
          <w:spacing w:val="-2"/>
          <w:w w:val="115"/>
        </w:rPr>
        <w:t>Part</w:t>
      </w:r>
      <w:r>
        <w:rPr>
          <w:color w:val="0000B2"/>
          <w:spacing w:val="-16"/>
          <w:w w:val="115"/>
        </w:rPr>
        <w:t> </w:t>
      </w:r>
      <w:r>
        <w:rPr>
          <w:color w:val="0000B2"/>
          <w:spacing w:val="-2"/>
          <w:w w:val="115"/>
        </w:rPr>
        <w:t>de</w:t>
      </w:r>
      <w:r>
        <w:rPr>
          <w:color w:val="0000B2"/>
          <w:spacing w:val="-15"/>
          <w:w w:val="115"/>
        </w:rPr>
        <w:t> </w:t>
      </w:r>
      <w:r>
        <w:rPr>
          <w:color w:val="0000B2"/>
          <w:spacing w:val="-2"/>
          <w:w w:val="115"/>
        </w:rPr>
        <w:t>variance</w:t>
      </w:r>
      <w:r>
        <w:rPr>
          <w:color w:val="0000B2"/>
          <w:spacing w:val="-13"/>
          <w:w w:val="115"/>
        </w:rPr>
        <w:t> </w:t>
      </w:r>
      <w:r>
        <w:rPr>
          <w:color w:val="0000B2"/>
          <w:spacing w:val="-2"/>
          <w:w w:val="115"/>
        </w:rPr>
        <w:t>expliquée</w:t>
      </w:r>
      <w:r>
        <w:rPr>
          <w:color w:val="0000B2"/>
          <w:spacing w:val="-15"/>
          <w:w w:val="115"/>
        </w:rPr>
        <w:t> </w:t>
      </w:r>
      <w:r>
        <w:rPr>
          <w:rFonts w:ascii="Calibri" w:hAnsi="Calibri"/>
          <w:color w:val="0000B2"/>
          <w:spacing w:val="-2"/>
          <w:w w:val="115"/>
        </w:rPr>
        <w:t>=</w:t>
      </w:r>
      <w:r>
        <w:rPr>
          <w:rFonts w:ascii="Calibri" w:hAnsi="Calibri"/>
          <w:color w:val="0000B2"/>
          <w:spacing w:val="3"/>
          <w:w w:val="115"/>
        </w:rPr>
        <w:t> </w:t>
      </w:r>
      <w:r>
        <w:rPr>
          <w:rFonts w:ascii="Calibri" w:hAnsi="Calibri"/>
          <w:i/>
          <w:color w:val="0000B2"/>
          <w:spacing w:val="69"/>
          <w:w w:val="150"/>
          <w:position w:val="16"/>
          <w:u w:val="single" w:color="0000B2"/>
        </w:rPr>
        <w:t> </w:t>
      </w:r>
      <w:r>
        <w:rPr>
          <w:rFonts w:ascii="Calibri" w:hAnsi="Calibri"/>
          <w:i/>
          <w:color w:val="0000B2"/>
          <w:spacing w:val="-5"/>
          <w:w w:val="115"/>
          <w:position w:val="16"/>
          <w:u w:val="single" w:color="0000B2"/>
        </w:rPr>
        <w:t>λ</w:t>
      </w:r>
      <w:r>
        <w:rPr>
          <w:rFonts w:ascii="Calibri" w:hAnsi="Calibri"/>
          <w:i/>
          <w:color w:val="0000B2"/>
          <w:spacing w:val="-5"/>
          <w:w w:val="115"/>
          <w:position w:val="13"/>
          <w:sz w:val="16"/>
          <w:u w:val="single" w:color="0000B2"/>
        </w:rPr>
        <w:t>j</w:t>
      </w:r>
      <w:r>
        <w:rPr>
          <w:rFonts w:ascii="Calibri" w:hAnsi="Calibri"/>
          <w:i/>
          <w:color w:val="0000B2"/>
          <w:position w:val="13"/>
          <w:sz w:val="16"/>
          <w:u w:val="single" w:color="0000B2"/>
        </w:rPr>
        <w:tab/>
      </w:r>
    </w:p>
    <w:p>
      <w:pPr>
        <w:spacing w:before="82"/>
        <w:ind w:left="6554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color w:val="0000B2"/>
          <w:spacing w:val="-5"/>
          <w:w w:val="120"/>
          <w:sz w:val="24"/>
        </w:rPr>
        <w:t>λ</w:t>
      </w:r>
      <w:r>
        <w:rPr>
          <w:rFonts w:ascii="Calibri" w:hAnsi="Calibri"/>
          <w:i/>
          <w:color w:val="0000B2"/>
          <w:spacing w:val="-5"/>
          <w:w w:val="120"/>
          <w:sz w:val="24"/>
          <w:vertAlign w:val="subscript"/>
        </w:rPr>
        <w:t>k</w:t>
      </w:r>
    </w:p>
    <w:p>
      <w:pPr>
        <w:spacing w:before="65"/>
        <w:ind w:left="3469" w:right="849" w:firstLine="0"/>
        <w:jc w:val="center"/>
        <w:rPr>
          <w:rFonts w:ascii="Calibri"/>
          <w:sz w:val="16"/>
        </w:rPr>
      </w:pPr>
      <w:r>
        <w:rPr>
          <w:rFonts w:ascii="Calibri"/>
          <w:i/>
          <w:color w:val="0000B2"/>
          <w:spacing w:val="-5"/>
          <w:w w:val="130"/>
          <w:sz w:val="16"/>
        </w:rPr>
        <w:t>k</w:t>
      </w:r>
      <w:r>
        <w:rPr>
          <w:rFonts w:ascii="Calibri"/>
          <w:color w:val="0000B2"/>
          <w:spacing w:val="-5"/>
          <w:w w:val="130"/>
          <w:sz w:val="16"/>
        </w:rPr>
        <w:t>=1</w:t>
      </w:r>
    </w:p>
    <w:p>
      <w:pPr>
        <w:pStyle w:val="BodyText"/>
        <w:spacing w:before="269"/>
        <w:ind w:left="727"/>
      </w:pPr>
      <w:r>
        <w:rPr/>
        <w:t>où</w:t>
      </w:r>
      <w:r>
        <w:rPr>
          <w:spacing w:val="20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0"/>
          <w:numId w:val="5"/>
        </w:numPr>
        <w:tabs>
          <w:tab w:pos="1241" w:val="left" w:leader="none"/>
        </w:tabs>
        <w:spacing w:line="240" w:lineRule="auto" w:before="0" w:after="0"/>
        <w:ind w:left="1241" w:right="0" w:hanging="385"/>
        <w:jc w:val="left"/>
        <w:rPr>
          <w:rFonts w:ascii="Georgia" w:hAnsi="Georgia"/>
          <w:b/>
          <w:sz w:val="24"/>
        </w:rPr>
      </w:pPr>
      <w:r>
        <w:rPr>
          <w:rFonts w:ascii="Calibri" w:hAnsi="Calibri"/>
          <w:i/>
          <w:spacing w:val="-2"/>
          <w:w w:val="115"/>
          <w:sz w:val="24"/>
        </w:rPr>
        <w:t>λ</w:t>
      </w:r>
      <w:r>
        <w:rPr>
          <w:rFonts w:ascii="Calibri" w:hAnsi="Calibri"/>
          <w:i/>
          <w:spacing w:val="-2"/>
          <w:w w:val="115"/>
          <w:sz w:val="24"/>
          <w:vertAlign w:val="subscript"/>
        </w:rPr>
        <w:t>j</w:t>
      </w:r>
      <w:r>
        <w:rPr>
          <w:rFonts w:ascii="Calibri" w:hAnsi="Calibri"/>
          <w:i/>
          <w:spacing w:val="10"/>
          <w:w w:val="115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est</w:t>
      </w:r>
      <w:r>
        <w:rPr>
          <w:spacing w:val="-8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la</w:t>
      </w:r>
      <w:r>
        <w:rPr>
          <w:spacing w:val="-7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valeur</w:t>
      </w:r>
      <w:r>
        <w:rPr>
          <w:spacing w:val="-8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propre</w:t>
      </w:r>
      <w:r>
        <w:rPr>
          <w:spacing w:val="-7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associée</w:t>
      </w:r>
      <w:r>
        <w:rPr>
          <w:spacing w:val="-8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à</w:t>
      </w:r>
      <w:r>
        <w:rPr>
          <w:spacing w:val="-7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la</w:t>
      </w:r>
      <w:r>
        <w:rPr>
          <w:spacing w:val="-7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composante</w:t>
      </w:r>
      <w:r>
        <w:rPr>
          <w:spacing w:val="-8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principale</w:t>
      </w:r>
      <w:r>
        <w:rPr>
          <w:spacing w:val="-8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j</w:t>
      </w:r>
      <w:r>
        <w:rPr>
          <w:spacing w:val="-5"/>
          <w:w w:val="115"/>
          <w:sz w:val="24"/>
          <w:vertAlign w:val="baseline"/>
        </w:rPr>
        <w:t>,</w:t>
      </w:r>
    </w:p>
    <w:p>
      <w:pPr>
        <w:pStyle w:val="ListParagraph"/>
        <w:numPr>
          <w:ilvl w:val="0"/>
          <w:numId w:val="5"/>
        </w:numPr>
        <w:tabs>
          <w:tab w:pos="1242" w:val="left" w:leader="none"/>
        </w:tabs>
        <w:spacing w:line="240" w:lineRule="auto" w:before="107" w:after="0"/>
        <w:ind w:left="1242" w:right="0" w:hanging="351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1375765</wp:posOffset>
                </wp:positionH>
                <wp:positionV relativeFrom="paragraph">
                  <wp:posOffset>239249</wp:posOffset>
                </wp:positionV>
                <wp:extent cx="383540" cy="47244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38354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63" w:lineRule="auto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w w:val="110"/>
                                <w:position w:val="-17"/>
                              </w:rPr>
                              <w:t>—</w:t>
                            </w:r>
                            <w:r>
                              <w:rPr>
                                <w:spacing w:val="19"/>
                                <w:w w:val="110"/>
                                <w:position w:val="-17"/>
                              </w:rPr>
                              <w:t> </w:t>
                            </w:r>
                            <w:bookmarkStart w:name="Résultats" w:id="9"/>
                            <w:bookmarkEnd w:id="9"/>
                            <w:r>
                              <w:rPr>
                                <w:spacing w:val="-3"/>
                                <w:position w:val="-17"/>
                              </w:rPr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6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328003pt;margin-top:18.838577pt;width:30.2pt;height:37.2pt;mso-position-horizontal-relative:page;mso-position-vertical-relative:paragraph;z-index:15739904" type="#_x0000_t202" id="docshape14" filled="false" stroked="false">
                <v:textbox inset="0,0,0,0">
                  <w:txbxContent>
                    <w:p>
                      <w:pPr>
                        <w:pStyle w:val="BodyText"/>
                        <w:spacing w:line="163" w:lineRule="auto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w w:val="110"/>
                          <w:position w:val="-17"/>
                        </w:rPr>
                        <w:t>—</w:t>
                      </w:r>
                      <w:r>
                        <w:rPr>
                          <w:spacing w:val="19"/>
                          <w:w w:val="110"/>
                          <w:position w:val="-17"/>
                        </w:rPr>
                        <w:t> </w:t>
                      </w:r>
                      <w:bookmarkStart w:name="Résultats" w:id="10"/>
                      <w:bookmarkEnd w:id="10"/>
                      <w:r>
                        <w:rPr>
                          <w:spacing w:val="-3"/>
                          <w:position w:val="-17"/>
                        </w:rPr>
                      </w:r>
                      <w:r>
                        <w:rPr>
                          <w:rFonts w:ascii="Lucida Sans Unicode" w:hAnsi="Lucida Sans Unicode"/>
                          <w:spacing w:val="-10"/>
                          <w:w w:val="16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spacing w:val="1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total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variables,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57" w:footer="0" w:top="1340" w:bottom="280" w:left="1275" w:right="566"/>
        </w:sectPr>
      </w:pPr>
    </w:p>
    <w:p>
      <w:pPr>
        <w:spacing w:line="228" w:lineRule="auto" w:before="74"/>
        <w:ind w:left="1495" w:right="0" w:firstLine="0"/>
        <w:jc w:val="left"/>
        <w:rPr>
          <w:rFonts w:ascii="Calibri"/>
          <w:sz w:val="16"/>
        </w:rPr>
      </w:pPr>
      <w:r>
        <w:rPr>
          <w:rFonts w:ascii="Calibri"/>
          <w:i/>
          <w:spacing w:val="-10"/>
          <w:w w:val="120"/>
          <w:sz w:val="16"/>
        </w:rPr>
        <w:t>p</w:t>
      </w:r>
      <w:r>
        <w:rPr>
          <w:rFonts w:ascii="Calibri"/>
          <w:i/>
          <w:spacing w:val="40"/>
          <w:w w:val="120"/>
          <w:sz w:val="16"/>
        </w:rPr>
        <w:t> </w:t>
      </w:r>
      <w:r>
        <w:rPr>
          <w:rFonts w:ascii="Calibri"/>
          <w:i/>
          <w:spacing w:val="-4"/>
          <w:w w:val="120"/>
          <w:sz w:val="16"/>
        </w:rPr>
        <w:t>k</w:t>
      </w:r>
      <w:r>
        <w:rPr>
          <w:rFonts w:ascii="Calibri"/>
          <w:spacing w:val="-4"/>
          <w:w w:val="120"/>
          <w:sz w:val="16"/>
        </w:rPr>
        <w:t>=1</w:t>
      </w:r>
    </w:p>
    <w:p>
      <w:pPr>
        <w:pStyle w:val="BodyText"/>
        <w:spacing w:before="107"/>
        <w:ind w:left="9"/>
      </w:pPr>
      <w:r>
        <w:rPr/>
        <w:br w:type="column"/>
      </w:r>
      <w:r>
        <w:rPr>
          <w:rFonts w:ascii="Calibri" w:hAnsi="Calibri"/>
          <w:i/>
          <w:w w:val="105"/>
        </w:rPr>
        <w:t>λ</w:t>
      </w:r>
      <w:r>
        <w:rPr>
          <w:rFonts w:ascii="Calibri" w:hAnsi="Calibri"/>
          <w:i/>
          <w:w w:val="105"/>
          <w:vertAlign w:val="subscript"/>
        </w:rPr>
        <w:t>k</w:t>
      </w:r>
      <w:r>
        <w:rPr>
          <w:rFonts w:ascii="Calibri" w:hAnsi="Calibri"/>
          <w:i/>
          <w:spacing w:val="37"/>
          <w:w w:val="105"/>
          <w:vertAlign w:val="baseline"/>
        </w:rPr>
        <w:t> </w:t>
      </w:r>
      <w:r>
        <w:rPr>
          <w:w w:val="105"/>
          <w:vertAlign w:val="baseline"/>
        </w:rPr>
        <w:t>représente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variance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totale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du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jeu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1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données.</w:t>
      </w:r>
    </w:p>
    <w:p>
      <w:pPr>
        <w:pStyle w:val="BodyText"/>
        <w:spacing w:after="0"/>
        <w:sectPr>
          <w:type w:val="continuous"/>
          <w:pgSz w:w="11910" w:h="16840"/>
          <w:pgMar w:header="657" w:footer="0" w:top="1620" w:bottom="280" w:left="1275" w:right="566"/>
          <w:cols w:num="2" w:equalWidth="0">
            <w:col w:w="1804" w:space="40"/>
            <w:col w:w="8225"/>
          </w:cols>
        </w:sectPr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131" w:after="0"/>
        <w:ind w:left="1446" w:right="0" w:hanging="719"/>
        <w:jc w:val="left"/>
      </w:pPr>
      <w:r>
        <w:rPr>
          <w:color w:val="000066"/>
          <w:spacing w:val="-2"/>
        </w:rPr>
        <w:t>Résultats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41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2027212</wp:posOffset>
            </wp:positionH>
            <wp:positionV relativeFrom="paragraph">
              <wp:posOffset>249447</wp:posOffset>
            </wp:positionV>
            <wp:extent cx="3446145" cy="2091689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145" cy="2091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  <w:rPr>
          <w:rFonts w:ascii="Georgia"/>
          <w:b/>
        </w:rPr>
      </w:pPr>
    </w:p>
    <w:p>
      <w:pPr>
        <w:pStyle w:val="BodyText"/>
        <w:spacing w:line="312" w:lineRule="auto"/>
        <w:ind w:left="727" w:right="849"/>
        <w:jc w:val="both"/>
      </w:pPr>
      <w:r>
        <w:rPr>
          <w:w w:val="105"/>
        </w:rPr>
        <w:t>Le tableau présente les valeurs propres, le pourcentage de variance expliquée et la variance</w:t>
      </w:r>
      <w:r>
        <w:rPr>
          <w:spacing w:val="-4"/>
          <w:w w:val="105"/>
        </w:rPr>
        <w:t> </w:t>
      </w:r>
      <w:r>
        <w:rPr>
          <w:w w:val="105"/>
        </w:rPr>
        <w:t>cumulée</w:t>
      </w:r>
      <w:r>
        <w:rPr>
          <w:spacing w:val="-4"/>
          <w:w w:val="105"/>
        </w:rPr>
        <w:t> </w:t>
      </w:r>
      <w:r>
        <w:rPr>
          <w:w w:val="105"/>
        </w:rPr>
        <w:t>des</w:t>
      </w:r>
      <w:r>
        <w:rPr>
          <w:spacing w:val="-4"/>
          <w:w w:val="105"/>
        </w:rPr>
        <w:t> </w:t>
      </w:r>
      <w:r>
        <w:rPr>
          <w:w w:val="105"/>
        </w:rPr>
        <w:t>composantes</w:t>
      </w:r>
      <w:r>
        <w:rPr>
          <w:spacing w:val="-4"/>
          <w:w w:val="105"/>
        </w:rPr>
        <w:t> </w:t>
      </w:r>
      <w:r>
        <w:rPr>
          <w:w w:val="105"/>
        </w:rPr>
        <w:t>principales</w:t>
      </w:r>
      <w:r>
        <w:rPr>
          <w:spacing w:val="-4"/>
          <w:w w:val="105"/>
        </w:rPr>
        <w:t> </w:t>
      </w:r>
      <w:r>
        <w:rPr>
          <w:w w:val="105"/>
        </w:rPr>
        <w:t>obtenues</w:t>
      </w:r>
      <w:r>
        <w:rPr>
          <w:spacing w:val="-4"/>
          <w:w w:val="105"/>
        </w:rPr>
        <w:t> </w:t>
      </w:r>
      <w:r>
        <w:rPr>
          <w:w w:val="105"/>
        </w:rPr>
        <w:t>après</w:t>
      </w:r>
      <w:r>
        <w:rPr>
          <w:spacing w:val="-4"/>
          <w:w w:val="105"/>
        </w:rPr>
        <w:t> </w:t>
      </w:r>
      <w:r>
        <w:rPr>
          <w:w w:val="105"/>
        </w:rPr>
        <w:t>l’Analyse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Compo- santes Principales (ACP).</w:t>
      </w:r>
    </w:p>
    <w:p>
      <w:pPr>
        <w:pStyle w:val="ListParagraph"/>
        <w:numPr>
          <w:ilvl w:val="0"/>
          <w:numId w:val="6"/>
        </w:numPr>
        <w:tabs>
          <w:tab w:pos="1242" w:val="left" w:leader="none"/>
        </w:tabs>
        <w:spacing w:line="312" w:lineRule="auto" w:before="164" w:after="0"/>
        <w:ind w:left="1242" w:right="848" w:hanging="35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Composantes</w:t>
      </w:r>
      <w:r>
        <w:rPr>
          <w:rFonts w:ascii="Georgia" w:hAnsi="Georgia"/>
          <w:b/>
          <w:spacing w:val="-2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principales</w:t>
      </w:r>
      <w:r>
        <w:rPr>
          <w:rFonts w:ascii="Georgia" w:hAnsi="Georgia"/>
          <w:b/>
          <w:spacing w:val="-2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(CP)</w:t>
      </w:r>
      <w:r>
        <w:rPr>
          <w:rFonts w:ascii="Georgia" w:hAnsi="Georgia"/>
          <w:b/>
          <w:spacing w:val="-10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composante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principale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une combinaison</w:t>
      </w:r>
      <w:r>
        <w:rPr>
          <w:w w:val="105"/>
          <w:sz w:val="24"/>
        </w:rPr>
        <w:t> linéaire</w:t>
      </w:r>
      <w:r>
        <w:rPr>
          <w:w w:val="105"/>
          <w:sz w:val="24"/>
        </w:rPr>
        <w:t> des</w:t>
      </w:r>
      <w:r>
        <w:rPr>
          <w:w w:val="105"/>
          <w:sz w:val="24"/>
        </w:rPr>
        <w:t> variables</w:t>
      </w:r>
      <w:r>
        <w:rPr>
          <w:w w:val="105"/>
          <w:sz w:val="24"/>
        </w:rPr>
        <w:t> initiales.</w:t>
      </w:r>
      <w:r>
        <w:rPr>
          <w:w w:val="105"/>
          <w:sz w:val="24"/>
        </w:rPr>
        <w:t> La</w:t>
      </w:r>
      <w:r>
        <w:rPr>
          <w:w w:val="105"/>
          <w:sz w:val="24"/>
        </w:rPr>
        <w:t> CP1</w:t>
      </w:r>
      <w:r>
        <w:rPr>
          <w:w w:val="105"/>
          <w:sz w:val="24"/>
        </w:rPr>
        <w:t> explique</w:t>
      </w:r>
      <w:r>
        <w:rPr>
          <w:w w:val="105"/>
          <w:sz w:val="24"/>
        </w:rPr>
        <w:t> la</w:t>
      </w:r>
      <w:r>
        <w:rPr>
          <w:w w:val="105"/>
          <w:sz w:val="24"/>
        </w:rPr>
        <w:t> plus</w:t>
      </w:r>
      <w:r>
        <w:rPr>
          <w:w w:val="105"/>
          <w:sz w:val="24"/>
        </w:rPr>
        <w:t> grande part de la variance totale, suivie de CP2, CP3, etc.</w:t>
      </w:r>
    </w:p>
    <w:p>
      <w:pPr>
        <w:pStyle w:val="ListParagraph"/>
        <w:numPr>
          <w:ilvl w:val="0"/>
          <w:numId w:val="6"/>
        </w:numPr>
        <w:tabs>
          <w:tab w:pos="1242" w:val="left" w:leader="none"/>
        </w:tabs>
        <w:spacing w:line="312" w:lineRule="auto" w:before="40" w:after="0"/>
        <w:ind w:left="1242" w:right="847" w:hanging="35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Valeur</w:t>
      </w:r>
      <w:r>
        <w:rPr>
          <w:rFonts w:ascii="Georgia" w:hAnsi="Georgia"/>
          <w:b/>
          <w:w w:val="105"/>
          <w:sz w:val="24"/>
        </w:rPr>
        <w:t> propre</w:t>
      </w:r>
      <w:r>
        <w:rPr>
          <w:rFonts w:ascii="Georgia" w:hAnsi="Georgia"/>
          <w:b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w w:val="105"/>
          <w:sz w:val="24"/>
        </w:rPr>
        <w:t> La</w:t>
      </w:r>
      <w:r>
        <w:rPr>
          <w:w w:val="105"/>
          <w:sz w:val="24"/>
        </w:rPr>
        <w:t> valeur</w:t>
      </w:r>
      <w:r>
        <w:rPr>
          <w:w w:val="105"/>
          <w:sz w:val="24"/>
        </w:rPr>
        <w:t> propre</w:t>
      </w:r>
      <w:r>
        <w:rPr>
          <w:w w:val="105"/>
          <w:sz w:val="24"/>
        </w:rPr>
        <w:t> mesure</w:t>
      </w:r>
      <w:r>
        <w:rPr>
          <w:w w:val="105"/>
          <w:sz w:val="24"/>
        </w:rPr>
        <w:t> la</w:t>
      </w:r>
      <w:r>
        <w:rPr>
          <w:w w:val="105"/>
          <w:sz w:val="24"/>
        </w:rPr>
        <w:t> quantité</w:t>
      </w:r>
      <w:r>
        <w:rPr>
          <w:w w:val="105"/>
          <w:sz w:val="24"/>
        </w:rPr>
        <w:t> de</w:t>
      </w:r>
      <w:r>
        <w:rPr>
          <w:w w:val="105"/>
          <w:sz w:val="24"/>
        </w:rPr>
        <w:t> variance</w:t>
      </w:r>
      <w:r>
        <w:rPr>
          <w:w w:val="105"/>
          <w:sz w:val="24"/>
        </w:rPr>
        <w:t> expliquée par chaque composante. Selon le critère de Kaiser,</w:t>
      </w:r>
      <w:r>
        <w:rPr>
          <w:w w:val="105"/>
          <w:sz w:val="24"/>
        </w:rPr>
        <w:t> on conserve généralement les</w:t>
      </w:r>
      <w:r>
        <w:rPr>
          <w:w w:val="105"/>
          <w:sz w:val="24"/>
        </w:rPr>
        <w:t> composantes</w:t>
      </w:r>
      <w:r>
        <w:rPr>
          <w:w w:val="105"/>
          <w:sz w:val="24"/>
        </w:rPr>
        <w:t> dont</w:t>
      </w:r>
      <w:r>
        <w:rPr>
          <w:w w:val="105"/>
          <w:sz w:val="24"/>
        </w:rPr>
        <w:t> la</w:t>
      </w:r>
      <w:r>
        <w:rPr>
          <w:w w:val="105"/>
          <w:sz w:val="24"/>
        </w:rPr>
        <w:t> valeur</w:t>
      </w:r>
      <w:r>
        <w:rPr>
          <w:w w:val="105"/>
          <w:sz w:val="24"/>
        </w:rPr>
        <w:t> propre</w:t>
      </w:r>
      <w:r>
        <w:rPr>
          <w:w w:val="105"/>
          <w:sz w:val="24"/>
        </w:rPr>
        <w:t> est</w:t>
      </w:r>
      <w:r>
        <w:rPr>
          <w:w w:val="105"/>
          <w:sz w:val="24"/>
        </w:rPr>
        <w:t> supérieure</w:t>
      </w:r>
      <w:r>
        <w:rPr>
          <w:w w:val="105"/>
          <w:sz w:val="24"/>
        </w:rPr>
        <w:t> à</w:t>
      </w:r>
      <w:r>
        <w:rPr>
          <w:w w:val="105"/>
          <w:sz w:val="24"/>
        </w:rPr>
        <w:t> 1.</w:t>
      </w:r>
      <w:r>
        <w:rPr>
          <w:w w:val="105"/>
          <w:sz w:val="24"/>
        </w:rPr>
        <w:t> Dans</w:t>
      </w:r>
      <w:r>
        <w:rPr>
          <w:w w:val="105"/>
          <w:sz w:val="24"/>
        </w:rPr>
        <w:t> ce</w:t>
      </w:r>
      <w:r>
        <w:rPr>
          <w:w w:val="105"/>
          <w:sz w:val="24"/>
        </w:rPr>
        <w:t> cas,</w:t>
      </w:r>
      <w:r>
        <w:rPr>
          <w:w w:val="105"/>
          <w:sz w:val="24"/>
        </w:rPr>
        <w:t> les composantes CP1, CP2, CP3 et CP4 peuvent être retenues.</w:t>
      </w:r>
    </w:p>
    <w:p>
      <w:pPr>
        <w:pStyle w:val="ListParagraph"/>
        <w:numPr>
          <w:ilvl w:val="0"/>
          <w:numId w:val="6"/>
        </w:numPr>
        <w:tabs>
          <w:tab w:pos="1242" w:val="left" w:leader="none"/>
        </w:tabs>
        <w:spacing w:line="312" w:lineRule="auto" w:before="40" w:after="0"/>
        <w:ind w:left="1242" w:right="848" w:hanging="35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Variance</w:t>
      </w:r>
      <w:r>
        <w:rPr>
          <w:rFonts w:ascii="Georgia" w:hAnsi="Georgia"/>
          <w:b/>
          <w:w w:val="105"/>
          <w:sz w:val="24"/>
        </w:rPr>
        <w:t> expliquée</w:t>
      </w:r>
      <w:r>
        <w:rPr>
          <w:rFonts w:ascii="Georgia" w:hAnsi="Georgia"/>
          <w:b/>
          <w:w w:val="105"/>
          <w:sz w:val="24"/>
        </w:rPr>
        <w:t> (%)</w:t>
      </w:r>
      <w:r>
        <w:rPr>
          <w:rFonts w:ascii="Georgia" w:hAnsi="Georgia"/>
          <w:b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w w:val="105"/>
          <w:sz w:val="24"/>
        </w:rPr>
        <w:t> Elle</w:t>
      </w:r>
      <w:r>
        <w:rPr>
          <w:w w:val="105"/>
          <w:sz w:val="24"/>
        </w:rPr>
        <w:t> indique</w:t>
      </w:r>
      <w:r>
        <w:rPr>
          <w:w w:val="105"/>
          <w:sz w:val="24"/>
        </w:rPr>
        <w:t> la</w:t>
      </w:r>
      <w:r>
        <w:rPr>
          <w:w w:val="105"/>
          <w:sz w:val="24"/>
        </w:rPr>
        <w:t> proportion</w:t>
      </w:r>
      <w:r>
        <w:rPr>
          <w:w w:val="105"/>
          <w:sz w:val="24"/>
        </w:rPr>
        <w:t> de</w:t>
      </w:r>
      <w:r>
        <w:rPr>
          <w:w w:val="105"/>
          <w:sz w:val="24"/>
        </w:rPr>
        <w:t> l’information</w:t>
      </w:r>
      <w:r>
        <w:rPr>
          <w:w w:val="105"/>
          <w:sz w:val="24"/>
        </w:rPr>
        <w:t> to- tale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expliquée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composante.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CP1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explique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27.66%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variance totale,</w:t>
      </w:r>
      <w:r>
        <w:rPr>
          <w:w w:val="105"/>
          <w:sz w:val="24"/>
        </w:rPr>
        <w:t> la</w:t>
      </w:r>
      <w:r>
        <w:rPr>
          <w:w w:val="105"/>
          <w:sz w:val="24"/>
        </w:rPr>
        <w:t> CP2</w:t>
      </w:r>
      <w:r>
        <w:rPr>
          <w:w w:val="105"/>
          <w:sz w:val="24"/>
        </w:rPr>
        <w:t> explique</w:t>
      </w:r>
      <w:r>
        <w:rPr>
          <w:w w:val="105"/>
          <w:sz w:val="24"/>
        </w:rPr>
        <w:t> 20.86%,</w:t>
      </w:r>
      <w:r>
        <w:rPr>
          <w:w w:val="105"/>
          <w:sz w:val="24"/>
        </w:rPr>
        <w:t> la</w:t>
      </w:r>
      <w:r>
        <w:rPr>
          <w:w w:val="105"/>
          <w:sz w:val="24"/>
        </w:rPr>
        <w:t> CP3</w:t>
      </w:r>
      <w:r>
        <w:rPr>
          <w:w w:val="105"/>
          <w:sz w:val="24"/>
        </w:rPr>
        <w:t> explique</w:t>
      </w:r>
      <w:r>
        <w:rPr>
          <w:w w:val="105"/>
          <w:sz w:val="24"/>
        </w:rPr>
        <w:t> 18.71%,</w:t>
      </w:r>
      <w:r>
        <w:rPr>
          <w:w w:val="105"/>
          <w:sz w:val="24"/>
        </w:rPr>
        <w:t> et</w:t>
      </w:r>
      <w:r>
        <w:rPr>
          <w:w w:val="105"/>
          <w:sz w:val="24"/>
        </w:rPr>
        <w:t> la</w:t>
      </w:r>
      <w:r>
        <w:rPr>
          <w:w w:val="105"/>
          <w:sz w:val="24"/>
        </w:rPr>
        <w:t> CP4</w:t>
      </w:r>
      <w:r>
        <w:rPr>
          <w:w w:val="105"/>
          <w:sz w:val="24"/>
        </w:rPr>
        <w:t> explique </w:t>
      </w:r>
      <w:r>
        <w:rPr>
          <w:spacing w:val="-2"/>
          <w:w w:val="105"/>
          <w:sz w:val="24"/>
        </w:rPr>
        <w:t>12.02%.</w:t>
      </w:r>
    </w:p>
    <w:p>
      <w:pPr>
        <w:pStyle w:val="ListParagraph"/>
        <w:numPr>
          <w:ilvl w:val="0"/>
          <w:numId w:val="6"/>
        </w:numPr>
        <w:tabs>
          <w:tab w:pos="1242" w:val="left" w:leader="none"/>
        </w:tabs>
        <w:spacing w:line="312" w:lineRule="auto" w:before="39" w:after="0"/>
        <w:ind w:left="1242" w:right="849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Variance cumulée (%) </w:t>
      </w:r>
      <w:r>
        <w:rPr>
          <w:sz w:val="24"/>
        </w:rPr>
        <w:t>: Elle représente la somme progressive des variances </w:t>
      </w:r>
      <w:r>
        <w:rPr>
          <w:w w:val="105"/>
          <w:sz w:val="24"/>
        </w:rPr>
        <w:t>expliquées.</w:t>
      </w:r>
      <w:r>
        <w:rPr>
          <w:w w:val="105"/>
          <w:sz w:val="24"/>
        </w:rPr>
        <w:t> Les</w:t>
      </w:r>
      <w:r>
        <w:rPr>
          <w:w w:val="105"/>
          <w:sz w:val="24"/>
        </w:rPr>
        <w:t> quatres</w:t>
      </w:r>
      <w:r>
        <w:rPr>
          <w:w w:val="105"/>
          <w:sz w:val="24"/>
        </w:rPr>
        <w:t> premières</w:t>
      </w:r>
      <w:r>
        <w:rPr>
          <w:w w:val="105"/>
          <w:sz w:val="24"/>
        </w:rPr>
        <w:t> composantes</w:t>
      </w:r>
      <w:r>
        <w:rPr>
          <w:w w:val="105"/>
          <w:sz w:val="24"/>
        </w:rPr>
        <w:t> expliquent</w:t>
      </w:r>
      <w:r>
        <w:rPr>
          <w:w w:val="105"/>
          <w:sz w:val="24"/>
        </w:rPr>
        <w:t> 79.25%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va- riance totale.</w:t>
      </w:r>
    </w:p>
    <w:p>
      <w:pPr>
        <w:pStyle w:val="BodyText"/>
        <w:spacing w:before="98"/>
      </w:pPr>
    </w:p>
    <w:p>
      <w:pPr>
        <w:pStyle w:val="BodyText"/>
        <w:spacing w:line="312" w:lineRule="auto"/>
        <w:ind w:left="727" w:right="848"/>
        <w:jc w:val="both"/>
      </w:pPr>
      <w:r>
        <w:rPr>
          <w:rFonts w:ascii="Georgia" w:hAnsi="Georgia"/>
          <w:b/>
          <w:w w:val="105"/>
          <w:u w:val="single"/>
        </w:rPr>
        <w:t>Conclusion</w:t>
      </w:r>
      <w:r>
        <w:rPr>
          <w:rFonts w:ascii="Georgia" w:hAnsi="Georgia"/>
          <w:b/>
          <w:spacing w:val="40"/>
          <w:w w:val="105"/>
        </w:rPr>
        <w:t> </w:t>
      </w:r>
      <w:r>
        <w:rPr>
          <w:w w:val="105"/>
        </w:rPr>
        <w:t>Les</w:t>
      </w:r>
      <w:r>
        <w:rPr>
          <w:w w:val="105"/>
        </w:rPr>
        <w:t> quatres</w:t>
      </w:r>
      <w:r>
        <w:rPr>
          <w:w w:val="105"/>
        </w:rPr>
        <w:t> premières</w:t>
      </w:r>
      <w:r>
        <w:rPr>
          <w:w w:val="105"/>
        </w:rPr>
        <w:t> composantes</w:t>
      </w:r>
      <w:r>
        <w:rPr>
          <w:w w:val="105"/>
        </w:rPr>
        <w:t> principales</w:t>
      </w:r>
      <w:r>
        <w:rPr>
          <w:w w:val="105"/>
        </w:rPr>
        <w:t> expliquent</w:t>
      </w:r>
      <w:r>
        <w:rPr>
          <w:w w:val="105"/>
        </w:rPr>
        <w:t> une</w:t>
      </w:r>
      <w:r>
        <w:rPr>
          <w:w w:val="105"/>
        </w:rPr>
        <w:t> part importante de la variance totale (79.25%), ce qui permet une réduction significative de</w:t>
      </w:r>
      <w:r>
        <w:rPr>
          <w:w w:val="105"/>
        </w:rPr>
        <w:t> la</w:t>
      </w:r>
      <w:r>
        <w:rPr>
          <w:w w:val="105"/>
        </w:rPr>
        <w:t> dimension</w:t>
      </w:r>
      <w:r>
        <w:rPr>
          <w:w w:val="105"/>
        </w:rPr>
        <w:t> des</w:t>
      </w:r>
      <w:r>
        <w:rPr>
          <w:w w:val="105"/>
        </w:rPr>
        <w:t> données.</w:t>
      </w:r>
      <w:r>
        <w:rPr>
          <w:w w:val="105"/>
        </w:rPr>
        <w:t> Par</w:t>
      </w:r>
      <w:r>
        <w:rPr>
          <w:w w:val="105"/>
        </w:rPr>
        <w:t> conséquent</w:t>
      </w:r>
      <w:r>
        <w:rPr>
          <w:w w:val="105"/>
        </w:rPr>
        <w:t> une</w:t>
      </w:r>
      <w:r>
        <w:rPr>
          <w:w w:val="105"/>
        </w:rPr>
        <w:t> représentation</w:t>
      </w:r>
      <w:r>
        <w:rPr>
          <w:w w:val="105"/>
        </w:rPr>
        <w:t> satisfaisante</w:t>
      </w:r>
      <w:r>
        <w:rPr>
          <w:w w:val="105"/>
        </w:rPr>
        <w:t> des </w:t>
      </w:r>
      <w:bookmarkStart w:name="Interprétation des composantes principal" w:id="11"/>
      <w:bookmarkEnd w:id="11"/>
      <w:r>
        <w:rPr>
          <w:spacing w:val="-2"/>
          <w:w w:val="105"/>
        </w:rPr>
        <w:t>données.</w:t>
      </w:r>
    </w:p>
    <w:p>
      <w:pPr>
        <w:pStyle w:val="BodyText"/>
        <w:spacing w:after="0" w:line="312" w:lineRule="auto"/>
        <w:jc w:val="both"/>
        <w:sectPr>
          <w:pgSz w:w="11910" w:h="16840"/>
          <w:pgMar w:header="657" w:footer="0" w:top="1340" w:bottom="280" w:left="1275" w:right="566"/>
        </w:sectPr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131" w:after="0"/>
        <w:ind w:left="1446" w:right="0" w:hanging="719"/>
        <w:jc w:val="left"/>
      </w:pPr>
      <w:r>
        <w:rPr>
          <w:color w:val="000066"/>
          <w:w w:val="90"/>
        </w:rPr>
        <w:t>Interprétation</w:t>
      </w:r>
      <w:r>
        <w:rPr>
          <w:color w:val="000066"/>
          <w:spacing w:val="64"/>
        </w:rPr>
        <w:t> </w:t>
      </w:r>
      <w:r>
        <w:rPr>
          <w:color w:val="000066"/>
          <w:w w:val="90"/>
        </w:rPr>
        <w:t>des</w:t>
      </w:r>
      <w:r>
        <w:rPr>
          <w:color w:val="000066"/>
          <w:spacing w:val="64"/>
        </w:rPr>
        <w:t> </w:t>
      </w:r>
      <w:r>
        <w:rPr>
          <w:color w:val="000066"/>
          <w:w w:val="90"/>
        </w:rPr>
        <w:t>composantes</w:t>
      </w:r>
      <w:r>
        <w:rPr>
          <w:color w:val="000066"/>
          <w:spacing w:val="65"/>
        </w:rPr>
        <w:t> </w:t>
      </w:r>
      <w:r>
        <w:rPr>
          <w:color w:val="000066"/>
          <w:spacing w:val="-2"/>
          <w:w w:val="90"/>
        </w:rPr>
        <w:t>principales</w:t>
      </w:r>
    </w:p>
    <w:p>
      <w:pPr>
        <w:pStyle w:val="BodyText"/>
        <w:spacing w:line="312" w:lineRule="auto" w:before="268"/>
        <w:ind w:left="727" w:right="775"/>
      </w:pPr>
      <w:r>
        <w:rPr>
          <w:w w:val="105"/>
        </w:rPr>
        <w:t>L’analyse</w:t>
      </w:r>
      <w:r>
        <w:rPr>
          <w:w w:val="105"/>
        </w:rPr>
        <w:t> des</w:t>
      </w:r>
      <w:r>
        <w:rPr>
          <w:w w:val="105"/>
        </w:rPr>
        <w:t> contributions</w:t>
      </w:r>
      <w:r>
        <w:rPr>
          <w:w w:val="105"/>
        </w:rPr>
        <w:t> des</w:t>
      </w:r>
      <w:r>
        <w:rPr>
          <w:w w:val="105"/>
        </w:rPr>
        <w:t> variables</w:t>
      </w:r>
      <w:r>
        <w:rPr>
          <w:w w:val="105"/>
        </w:rPr>
        <w:t> aux</w:t>
      </w:r>
      <w:r>
        <w:rPr>
          <w:w w:val="105"/>
        </w:rPr>
        <w:t> composantes</w:t>
      </w:r>
      <w:r>
        <w:rPr>
          <w:w w:val="105"/>
        </w:rPr>
        <w:t> permet</w:t>
      </w:r>
      <w:r>
        <w:rPr>
          <w:w w:val="105"/>
        </w:rPr>
        <w:t> de</w:t>
      </w:r>
      <w:r>
        <w:rPr>
          <w:w w:val="105"/>
        </w:rPr>
        <w:t> comprendre leur signification économique.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1451216</wp:posOffset>
            </wp:positionH>
            <wp:positionV relativeFrom="paragraph">
              <wp:posOffset>159062</wp:posOffset>
            </wp:positionV>
            <wp:extent cx="4618482" cy="140817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482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3"/>
      </w:pPr>
    </w:p>
    <w:p>
      <w:pPr>
        <w:pStyle w:val="Heading3"/>
      </w:pPr>
      <w:r>
        <w:rPr>
          <w:spacing w:val="-8"/>
        </w:rPr>
        <w:t>Contribution</w:t>
      </w:r>
      <w:r>
        <w:rPr>
          <w:spacing w:val="-2"/>
        </w:rPr>
        <w:t> </w:t>
      </w:r>
      <w:r>
        <w:rPr>
          <w:spacing w:val="-8"/>
        </w:rPr>
        <w:t>des</w:t>
      </w:r>
      <w:r>
        <w:rPr>
          <w:spacing w:val="-2"/>
        </w:rPr>
        <w:t> </w:t>
      </w:r>
      <w:r>
        <w:rPr>
          <w:spacing w:val="-8"/>
        </w:rPr>
        <w:t>variables</w:t>
      </w:r>
      <w:r>
        <w:rPr>
          <w:spacing w:val="-2"/>
        </w:rPr>
        <w:t> </w:t>
      </w:r>
      <w:r>
        <w:rPr>
          <w:spacing w:val="-8"/>
        </w:rPr>
        <w:t>aux</w:t>
      </w:r>
      <w:r>
        <w:rPr>
          <w:spacing w:val="-2"/>
        </w:rPr>
        <w:t> </w:t>
      </w:r>
      <w:r>
        <w:rPr>
          <w:spacing w:val="-8"/>
        </w:rPr>
        <w:t>composantes</w:t>
      </w:r>
      <w:r>
        <w:rPr>
          <w:spacing w:val="-2"/>
        </w:rPr>
        <w:t> </w:t>
      </w:r>
      <w:r>
        <w:rPr>
          <w:spacing w:val="-8"/>
        </w:rPr>
        <w:t>principales</w:t>
      </w:r>
    </w:p>
    <w:p>
      <w:pPr>
        <w:pStyle w:val="ListParagraph"/>
        <w:numPr>
          <w:ilvl w:val="0"/>
          <w:numId w:val="7"/>
        </w:numPr>
        <w:tabs>
          <w:tab w:pos="1242" w:val="left" w:leader="none"/>
        </w:tabs>
        <w:spacing w:line="312" w:lineRule="auto" w:before="164" w:after="0"/>
        <w:ind w:left="1242" w:right="850" w:hanging="35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CP1</w:t>
      </w:r>
      <w:r>
        <w:rPr>
          <w:rFonts w:ascii="Georgia" w:hAnsi="Georgia"/>
          <w:b/>
          <w:w w:val="105"/>
          <w:sz w:val="24"/>
        </w:rPr>
        <w:t> :</w:t>
      </w:r>
      <w:r>
        <w:rPr>
          <w:rFonts w:ascii="Georgia" w:hAnsi="Georgia"/>
          <w:b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w w:val="105"/>
          <w:sz w:val="24"/>
        </w:rPr>
        <w:t> variables</w:t>
      </w:r>
      <w:r>
        <w:rPr>
          <w:w w:val="105"/>
          <w:sz w:val="24"/>
        </w:rPr>
        <w:t> contribuant</w:t>
      </w:r>
      <w:r>
        <w:rPr>
          <w:w w:val="105"/>
          <w:sz w:val="24"/>
        </w:rPr>
        <w:t> le</w:t>
      </w:r>
      <w:r>
        <w:rPr>
          <w:w w:val="105"/>
          <w:sz w:val="24"/>
        </w:rPr>
        <w:t> plus</w:t>
      </w:r>
      <w:r>
        <w:rPr>
          <w:w w:val="105"/>
          <w:sz w:val="24"/>
        </w:rPr>
        <w:t> sont</w:t>
      </w:r>
      <w:r>
        <w:rPr>
          <w:w w:val="105"/>
          <w:sz w:val="24"/>
        </w:rPr>
        <w:t> les</w:t>
      </w:r>
      <w:r>
        <w:rPr>
          <w:w w:val="105"/>
          <w:sz w:val="24"/>
        </w:rPr>
        <w:t> dépenses</w:t>
      </w:r>
      <w:r>
        <w:rPr>
          <w:w w:val="105"/>
          <w:sz w:val="24"/>
        </w:rPr>
        <w:t> de</w:t>
      </w:r>
      <w:r>
        <w:rPr>
          <w:w w:val="105"/>
          <w:sz w:val="24"/>
        </w:rPr>
        <w:t> consommation des ménages (24.53%), la croissance du PIB (16.73%), le rendement du MASI (14.59%), la masse monétaire (14.05%) et l’inflation (13.55%).</w:t>
      </w:r>
    </w:p>
    <w:p>
      <w:pPr>
        <w:pStyle w:val="BodyText"/>
        <w:spacing w:line="328" w:lineRule="exact"/>
        <w:ind w:left="1242"/>
        <w:jc w:val="both"/>
      </w:pP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12"/>
          <w:w w:val="105"/>
        </w:rPr>
        <w:t> </w:t>
      </w:r>
      <w:r>
        <w:rPr>
          <w:w w:val="105"/>
        </w:rPr>
        <w:t>Axe</w:t>
      </w:r>
      <w:r>
        <w:rPr>
          <w:spacing w:val="5"/>
          <w:w w:val="105"/>
        </w:rPr>
        <w:t> </w:t>
      </w:r>
      <w:r>
        <w:rPr>
          <w:w w:val="105"/>
        </w:rPr>
        <w:t>représentant</w:t>
      </w:r>
      <w:r>
        <w:rPr>
          <w:spacing w:val="5"/>
          <w:w w:val="105"/>
        </w:rPr>
        <w:t> </w:t>
      </w:r>
      <w:r>
        <w:rPr>
          <w:w w:val="105"/>
        </w:rPr>
        <w:t>la</w:t>
      </w:r>
      <w:r>
        <w:rPr>
          <w:spacing w:val="5"/>
          <w:w w:val="105"/>
        </w:rPr>
        <w:t> </w:t>
      </w:r>
      <w:r>
        <w:rPr>
          <w:w w:val="105"/>
        </w:rPr>
        <w:t>dynamique</w:t>
      </w:r>
      <w:r>
        <w:rPr>
          <w:spacing w:val="5"/>
          <w:w w:val="105"/>
        </w:rPr>
        <w:t> </w:t>
      </w:r>
      <w:r>
        <w:rPr>
          <w:w w:val="105"/>
        </w:rPr>
        <w:t>macroéconomique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globale.</w:t>
      </w:r>
    </w:p>
    <w:p>
      <w:pPr>
        <w:pStyle w:val="ListParagraph"/>
        <w:numPr>
          <w:ilvl w:val="0"/>
          <w:numId w:val="7"/>
        </w:numPr>
        <w:tabs>
          <w:tab w:pos="1242" w:val="left" w:leader="none"/>
        </w:tabs>
        <w:spacing w:line="312" w:lineRule="auto" w:before="70" w:after="0"/>
        <w:ind w:left="1242" w:right="850" w:hanging="35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CP2 : </w:t>
      </w:r>
      <w:r>
        <w:rPr>
          <w:w w:val="105"/>
          <w:sz w:val="24"/>
        </w:rPr>
        <w:t>Principalement expliquée par le taux d’intérêt moyen (26.94%), le taux de chômage (24.77%) et la croissance du PIB (19.61%).</w:t>
      </w:r>
    </w:p>
    <w:p>
      <w:pPr>
        <w:pStyle w:val="BodyText"/>
        <w:spacing w:line="329" w:lineRule="exact"/>
        <w:ind w:left="1242"/>
        <w:jc w:val="both"/>
      </w:pP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6"/>
          <w:w w:val="105"/>
        </w:rPr>
        <w:t> </w:t>
      </w:r>
      <w:r>
        <w:rPr>
          <w:w w:val="105"/>
        </w:rPr>
        <w:t>Axe</w:t>
      </w:r>
      <w:r>
        <w:rPr>
          <w:spacing w:val="12"/>
          <w:w w:val="105"/>
        </w:rPr>
        <w:t> </w:t>
      </w:r>
      <w:r>
        <w:rPr>
          <w:w w:val="105"/>
        </w:rPr>
        <w:t>lié</w:t>
      </w:r>
      <w:r>
        <w:rPr>
          <w:spacing w:val="11"/>
          <w:w w:val="105"/>
        </w:rPr>
        <w:t> </w:t>
      </w:r>
      <w:r>
        <w:rPr>
          <w:w w:val="105"/>
        </w:rPr>
        <w:t>aux</w:t>
      </w:r>
      <w:r>
        <w:rPr>
          <w:spacing w:val="10"/>
          <w:w w:val="105"/>
        </w:rPr>
        <w:t> </w:t>
      </w:r>
      <w:r>
        <w:rPr>
          <w:w w:val="105"/>
        </w:rPr>
        <w:t>conditions</w:t>
      </w:r>
      <w:r>
        <w:rPr>
          <w:spacing w:val="12"/>
          <w:w w:val="105"/>
        </w:rPr>
        <w:t> </w:t>
      </w:r>
      <w:r>
        <w:rPr>
          <w:w w:val="105"/>
        </w:rPr>
        <w:t>monétaires</w:t>
      </w:r>
      <w:r>
        <w:rPr>
          <w:spacing w:val="10"/>
          <w:w w:val="105"/>
        </w:rPr>
        <w:t> </w:t>
      </w:r>
      <w:r>
        <w:rPr>
          <w:w w:val="105"/>
        </w:rPr>
        <w:t>et</w:t>
      </w:r>
      <w:r>
        <w:rPr>
          <w:spacing w:val="11"/>
          <w:w w:val="105"/>
        </w:rPr>
        <w:t> </w:t>
      </w:r>
      <w:r>
        <w:rPr>
          <w:w w:val="105"/>
        </w:rPr>
        <w:t>au</w:t>
      </w:r>
      <w:r>
        <w:rPr>
          <w:spacing w:val="11"/>
          <w:w w:val="105"/>
        </w:rPr>
        <w:t> </w:t>
      </w:r>
      <w:r>
        <w:rPr>
          <w:w w:val="105"/>
        </w:rPr>
        <w:t>marché</w:t>
      </w:r>
      <w:r>
        <w:rPr>
          <w:spacing w:val="11"/>
          <w:w w:val="105"/>
        </w:rPr>
        <w:t> </w:t>
      </w:r>
      <w:r>
        <w:rPr>
          <w:w w:val="105"/>
        </w:rPr>
        <w:t>du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travail.</w:t>
      </w:r>
    </w:p>
    <w:p>
      <w:pPr>
        <w:pStyle w:val="ListParagraph"/>
        <w:numPr>
          <w:ilvl w:val="0"/>
          <w:numId w:val="7"/>
        </w:numPr>
        <w:tabs>
          <w:tab w:pos="1242" w:val="left" w:leader="none"/>
        </w:tabs>
        <w:spacing w:line="312" w:lineRule="auto" w:before="70" w:after="0"/>
        <w:ind w:left="1242" w:right="849" w:hanging="35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CP3 : </w:t>
      </w:r>
      <w:r>
        <w:rPr>
          <w:w w:val="105"/>
          <w:sz w:val="24"/>
        </w:rPr>
        <w:t>Dominée par la variation du taux de change (38.79%), suivie du rende- ment du MASI (18.12%) et des dépenses de consommation (17.62%).</w:t>
      </w:r>
    </w:p>
    <w:p>
      <w:pPr>
        <w:pStyle w:val="BodyText"/>
        <w:spacing w:line="329" w:lineRule="exact"/>
        <w:ind w:left="1242"/>
        <w:jc w:val="both"/>
      </w:pP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13"/>
          <w:w w:val="105"/>
        </w:rPr>
        <w:t> </w:t>
      </w:r>
      <w:r>
        <w:rPr>
          <w:w w:val="105"/>
        </w:rPr>
        <w:t>Axe</w:t>
      </w:r>
      <w:r>
        <w:rPr>
          <w:spacing w:val="4"/>
          <w:w w:val="105"/>
        </w:rPr>
        <w:t> </w:t>
      </w:r>
      <w:r>
        <w:rPr>
          <w:w w:val="105"/>
        </w:rPr>
        <w:t>financier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externe.</w:t>
      </w:r>
    </w:p>
    <w:p>
      <w:pPr>
        <w:pStyle w:val="ListParagraph"/>
        <w:numPr>
          <w:ilvl w:val="0"/>
          <w:numId w:val="7"/>
        </w:numPr>
        <w:tabs>
          <w:tab w:pos="1242" w:val="left" w:leader="none"/>
        </w:tabs>
        <w:spacing w:line="312" w:lineRule="auto" w:before="70" w:after="0"/>
        <w:ind w:left="1242" w:right="849" w:hanging="35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CP4 :</w:t>
      </w:r>
      <w:r>
        <w:rPr>
          <w:rFonts w:ascii="Georgia" w:hAnsi="Georgia"/>
          <w:b/>
          <w:spacing w:val="-2"/>
          <w:w w:val="105"/>
          <w:sz w:val="24"/>
        </w:rPr>
        <w:t> </w:t>
      </w:r>
      <w:r>
        <w:rPr>
          <w:w w:val="105"/>
          <w:sz w:val="24"/>
        </w:rPr>
        <w:t>Fortement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influencée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variation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(28.53%),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l’in- flation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(20.22%),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rendement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MASI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(18.56%)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d’intérêt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(18.02%).</w:t>
      </w:r>
    </w:p>
    <w:p>
      <w:pPr>
        <w:pStyle w:val="BodyText"/>
        <w:spacing w:line="329" w:lineRule="exact"/>
        <w:ind w:left="1242"/>
        <w:jc w:val="both"/>
      </w:pP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w w:val="105"/>
        </w:rPr>
        <w:t>Axe</w:t>
      </w:r>
      <w:r>
        <w:rPr>
          <w:spacing w:val="-3"/>
          <w:w w:val="105"/>
        </w:rPr>
        <w:t> </w:t>
      </w:r>
      <w:r>
        <w:rPr>
          <w:w w:val="105"/>
        </w:rPr>
        <w:t>financier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complémentaire.</w:t>
      </w:r>
    </w:p>
    <w:p>
      <w:pPr>
        <w:pStyle w:val="BodyText"/>
        <w:spacing w:before="183"/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0" w:after="0"/>
        <w:ind w:left="1446" w:right="0" w:hanging="719"/>
        <w:jc w:val="left"/>
      </w:pPr>
      <w:bookmarkStart w:name="Qualité de représentation (cos²)" w:id="12"/>
      <w:bookmarkEnd w:id="12"/>
      <w:r>
        <w:rPr>
          <w:b w:val="0"/>
        </w:rPr>
      </w:r>
      <w:r>
        <w:rPr>
          <w:color w:val="000066"/>
          <w:spacing w:val="-8"/>
        </w:rPr>
        <w:t>Qualité</w:t>
      </w:r>
      <w:r>
        <w:rPr>
          <w:color w:val="000066"/>
          <w:spacing w:val="6"/>
        </w:rPr>
        <w:t> </w:t>
      </w:r>
      <w:r>
        <w:rPr>
          <w:color w:val="000066"/>
          <w:spacing w:val="-8"/>
        </w:rPr>
        <w:t>de</w:t>
      </w:r>
      <w:r>
        <w:rPr>
          <w:color w:val="000066"/>
          <w:spacing w:val="7"/>
        </w:rPr>
        <w:t> </w:t>
      </w:r>
      <w:r>
        <w:rPr>
          <w:color w:val="000066"/>
          <w:spacing w:val="-8"/>
        </w:rPr>
        <w:t>représentation</w:t>
      </w:r>
      <w:r>
        <w:rPr>
          <w:color w:val="000066"/>
          <w:spacing w:val="8"/>
        </w:rPr>
        <w:t> </w:t>
      </w:r>
      <w:r>
        <w:rPr>
          <w:color w:val="000066"/>
          <w:spacing w:val="-8"/>
        </w:rPr>
        <w:t>(cos</w:t>
      </w:r>
      <w:r>
        <w:rPr>
          <w:i/>
          <w:color w:val="000066"/>
          <w:spacing w:val="-8"/>
        </w:rPr>
        <w:t>²</w:t>
      </w:r>
      <w:r>
        <w:rPr>
          <w:color w:val="000066"/>
          <w:spacing w:val="-8"/>
        </w:rPr>
        <w:t>)</w:t>
      </w:r>
    </w:p>
    <w:p>
      <w:pPr>
        <w:pStyle w:val="BodyText"/>
        <w:spacing w:line="312" w:lineRule="auto" w:before="268"/>
        <w:ind w:left="727" w:right="775"/>
      </w:pPr>
      <w:r>
        <w:rPr>
          <w:w w:val="105"/>
        </w:rPr>
        <w:t>Le cos² mesure la qualité de représentation des variables sur les axes factoriels. Des valeurs élevées indiquent une bonne représentation.</w:t>
      </w:r>
    </w:p>
    <w:p>
      <w:pPr>
        <w:pStyle w:val="BodyText"/>
        <w:spacing w:after="0" w:line="312" w:lineRule="auto"/>
        <w:sectPr>
          <w:pgSz w:w="11910" w:h="16840"/>
          <w:pgMar w:header="657" w:footer="0" w:top="1340" w:bottom="280" w:left="1275" w:right="566"/>
        </w:sectPr>
      </w:pPr>
    </w:p>
    <w:p>
      <w:pPr>
        <w:pStyle w:val="BodyText"/>
        <w:spacing w:before="11"/>
        <w:rPr>
          <w:sz w:val="12"/>
        </w:rPr>
      </w:pPr>
    </w:p>
    <w:p>
      <w:pPr>
        <w:pStyle w:val="BodyText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4038123" cy="196386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123" cy="196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0"/>
      </w:pPr>
    </w:p>
    <w:p>
      <w:pPr>
        <w:pStyle w:val="Heading3"/>
        <w:spacing w:before="1"/>
        <w:jc w:val="both"/>
      </w:pPr>
      <w:r>
        <w:rPr>
          <w:spacing w:val="-8"/>
        </w:rPr>
        <w:t>Qualité</w:t>
      </w:r>
      <w:r>
        <w:rPr/>
        <w:t> </w:t>
      </w:r>
      <w:r>
        <w:rPr>
          <w:spacing w:val="-8"/>
        </w:rPr>
        <w:t>de</w:t>
      </w:r>
      <w:r>
        <w:rPr/>
        <w:t> </w:t>
      </w:r>
      <w:r>
        <w:rPr>
          <w:spacing w:val="-8"/>
        </w:rPr>
        <w:t>représentation</w:t>
      </w:r>
      <w:r>
        <w:rPr/>
        <w:t> </w:t>
      </w:r>
      <w:r>
        <w:rPr>
          <w:spacing w:val="-8"/>
        </w:rPr>
        <w:t>des</w:t>
      </w:r>
      <w:r>
        <w:rPr>
          <w:spacing w:val="1"/>
        </w:rPr>
        <w:t> </w:t>
      </w:r>
      <w:r>
        <w:rPr>
          <w:spacing w:val="-8"/>
        </w:rPr>
        <w:t>variables</w:t>
      </w:r>
      <w:r>
        <w:rPr/>
        <w:t> </w:t>
      </w:r>
      <w:r>
        <w:rPr>
          <w:spacing w:val="-8"/>
        </w:rPr>
        <w:t>(cos</w:t>
      </w:r>
      <w:r>
        <w:rPr>
          <w:rFonts w:ascii="Calibri" w:hAnsi="Calibri"/>
          <w:b w:val="0"/>
          <w:spacing w:val="-8"/>
          <w:position w:val="9"/>
          <w:sz w:val="16"/>
        </w:rPr>
        <w:t>2</w:t>
      </w:r>
      <w:r>
        <w:rPr>
          <w:spacing w:val="-8"/>
        </w:rPr>
        <w:t>)</w:t>
      </w:r>
    </w:p>
    <w:p>
      <w:pPr>
        <w:pStyle w:val="ListParagraph"/>
        <w:numPr>
          <w:ilvl w:val="0"/>
          <w:numId w:val="8"/>
        </w:numPr>
        <w:tabs>
          <w:tab w:pos="1242" w:val="left" w:leader="none"/>
        </w:tabs>
        <w:spacing w:line="312" w:lineRule="auto" w:before="164" w:after="0"/>
        <w:ind w:left="1242" w:right="849" w:hanging="352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CP1 : </w:t>
      </w:r>
      <w:r>
        <w:rPr>
          <w:w w:val="105"/>
          <w:sz w:val="24"/>
        </w:rPr>
        <w:t>Principalement expliquée par les dépenses de consommation (0.543), la croissance du PIB (0.370), le rendement du MASI (0.323), la masse monétaire (0.311) et l’inflation (0.300).</w:t>
      </w:r>
    </w:p>
    <w:p>
      <w:pPr>
        <w:pStyle w:val="BodyText"/>
        <w:spacing w:line="328" w:lineRule="exact"/>
        <w:ind w:left="1242"/>
        <w:jc w:val="both"/>
      </w:pP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19"/>
          <w:w w:val="105"/>
        </w:rPr>
        <w:t> </w:t>
      </w:r>
      <w:r>
        <w:rPr>
          <w:w w:val="105"/>
        </w:rPr>
        <w:t>Axe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dynamique</w:t>
      </w:r>
      <w:r>
        <w:rPr>
          <w:spacing w:val="-2"/>
          <w:w w:val="105"/>
        </w:rPr>
        <w:t> </w:t>
      </w:r>
      <w:r>
        <w:rPr>
          <w:w w:val="105"/>
        </w:rPr>
        <w:t>macroéconomique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globale.</w:t>
      </w:r>
    </w:p>
    <w:p>
      <w:pPr>
        <w:pStyle w:val="ListParagraph"/>
        <w:numPr>
          <w:ilvl w:val="0"/>
          <w:numId w:val="8"/>
        </w:numPr>
        <w:tabs>
          <w:tab w:pos="1242" w:val="left" w:leader="none"/>
        </w:tabs>
        <w:spacing w:line="312" w:lineRule="auto" w:before="70" w:after="0"/>
        <w:ind w:left="1242" w:right="850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CP2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: </w:t>
      </w:r>
      <w:r>
        <w:rPr>
          <w:sz w:val="24"/>
        </w:rPr>
        <w:t>Dominée par le taux d’intérêt moyen (0.449) et le taux de chômage</w:t>
      </w:r>
      <w:r>
        <w:rPr>
          <w:spacing w:val="40"/>
          <w:sz w:val="24"/>
        </w:rPr>
        <w:t> </w:t>
      </w:r>
      <w:r>
        <w:rPr>
          <w:sz w:val="24"/>
        </w:rPr>
        <w:t>(0.413),</w:t>
      </w:r>
      <w:r>
        <w:rPr>
          <w:spacing w:val="40"/>
          <w:sz w:val="24"/>
        </w:rPr>
        <w:t> </w:t>
      </w:r>
      <w:r>
        <w:rPr>
          <w:sz w:val="24"/>
        </w:rPr>
        <w:t>ainsi</w:t>
      </w:r>
      <w:r>
        <w:rPr>
          <w:spacing w:val="40"/>
          <w:sz w:val="24"/>
        </w:rPr>
        <w:t> </w:t>
      </w:r>
      <w:r>
        <w:rPr>
          <w:sz w:val="24"/>
        </w:rPr>
        <w:t>que</w:t>
      </w:r>
      <w:r>
        <w:rPr>
          <w:spacing w:val="40"/>
          <w:sz w:val="24"/>
        </w:rPr>
        <w:t> </w:t>
      </w:r>
      <w:r>
        <w:rPr>
          <w:sz w:val="24"/>
        </w:rPr>
        <w:t>par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croissance</w:t>
      </w:r>
      <w:r>
        <w:rPr>
          <w:spacing w:val="40"/>
          <w:sz w:val="24"/>
        </w:rPr>
        <w:t>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PIB</w:t>
      </w:r>
      <w:r>
        <w:rPr>
          <w:spacing w:val="40"/>
          <w:sz w:val="24"/>
        </w:rPr>
        <w:t> </w:t>
      </w:r>
      <w:r>
        <w:rPr>
          <w:sz w:val="24"/>
        </w:rPr>
        <w:t>(0.327).</w:t>
      </w:r>
    </w:p>
    <w:p>
      <w:pPr>
        <w:pStyle w:val="BodyText"/>
        <w:spacing w:line="328" w:lineRule="exact"/>
        <w:ind w:left="1242"/>
        <w:jc w:val="both"/>
      </w:pP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5"/>
          <w:w w:val="105"/>
        </w:rPr>
        <w:t> </w:t>
      </w:r>
      <w:r>
        <w:rPr>
          <w:w w:val="105"/>
        </w:rPr>
        <w:t>Axe</w:t>
      </w:r>
      <w:r>
        <w:rPr>
          <w:spacing w:val="12"/>
          <w:w w:val="105"/>
        </w:rPr>
        <w:t> </w:t>
      </w:r>
      <w:r>
        <w:rPr>
          <w:w w:val="105"/>
        </w:rPr>
        <w:t>des</w:t>
      </w:r>
      <w:r>
        <w:rPr>
          <w:spacing w:val="10"/>
          <w:w w:val="105"/>
        </w:rPr>
        <w:t> </w:t>
      </w:r>
      <w:r>
        <w:rPr>
          <w:w w:val="105"/>
        </w:rPr>
        <w:t>conditions</w:t>
      </w:r>
      <w:r>
        <w:rPr>
          <w:spacing w:val="11"/>
          <w:w w:val="105"/>
        </w:rPr>
        <w:t> </w:t>
      </w:r>
      <w:r>
        <w:rPr>
          <w:w w:val="105"/>
        </w:rPr>
        <w:t>monétaires</w:t>
      </w:r>
      <w:r>
        <w:rPr>
          <w:spacing w:val="12"/>
          <w:w w:val="105"/>
        </w:rPr>
        <w:t> </w:t>
      </w:r>
      <w:r>
        <w:rPr>
          <w:w w:val="105"/>
        </w:rPr>
        <w:t>et</w:t>
      </w:r>
      <w:r>
        <w:rPr>
          <w:spacing w:val="11"/>
          <w:w w:val="105"/>
        </w:rPr>
        <w:t> </w:t>
      </w:r>
      <w:r>
        <w:rPr>
          <w:w w:val="105"/>
        </w:rPr>
        <w:t>du</w:t>
      </w:r>
      <w:r>
        <w:rPr>
          <w:spacing w:val="11"/>
          <w:w w:val="105"/>
        </w:rPr>
        <w:t> </w:t>
      </w:r>
      <w:r>
        <w:rPr>
          <w:w w:val="105"/>
        </w:rPr>
        <w:t>marché</w:t>
      </w:r>
      <w:r>
        <w:rPr>
          <w:spacing w:val="11"/>
          <w:w w:val="105"/>
        </w:rPr>
        <w:t> </w:t>
      </w:r>
      <w:r>
        <w:rPr>
          <w:w w:val="105"/>
        </w:rPr>
        <w:t>du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travail.</w:t>
      </w:r>
    </w:p>
    <w:p>
      <w:pPr>
        <w:pStyle w:val="ListParagraph"/>
        <w:numPr>
          <w:ilvl w:val="0"/>
          <w:numId w:val="8"/>
        </w:numPr>
        <w:tabs>
          <w:tab w:pos="1242" w:val="left" w:leader="none"/>
        </w:tabs>
        <w:spacing w:line="240" w:lineRule="auto" w:before="70" w:after="0"/>
        <w:ind w:left="1242" w:right="0" w:hanging="351"/>
        <w:jc w:val="both"/>
        <w:rPr>
          <w:sz w:val="24"/>
        </w:rPr>
      </w:pPr>
      <w:r>
        <w:rPr>
          <w:rFonts w:ascii="Georgia" w:hAnsi="Georgia"/>
          <w:b/>
          <w:w w:val="105"/>
          <w:sz w:val="24"/>
        </w:rPr>
        <w:t>CP3</w:t>
      </w:r>
      <w:r>
        <w:rPr>
          <w:rFonts w:ascii="Georgia" w:hAnsi="Georgia"/>
          <w:b/>
          <w:spacing w:val="18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:</w:t>
      </w:r>
      <w:r>
        <w:rPr>
          <w:rFonts w:ascii="Georgia" w:hAnsi="Georgia"/>
          <w:b/>
          <w:spacing w:val="9"/>
          <w:w w:val="105"/>
          <w:sz w:val="24"/>
        </w:rPr>
        <w:t> </w:t>
      </w:r>
      <w:r>
        <w:rPr>
          <w:w w:val="105"/>
          <w:sz w:val="24"/>
        </w:rPr>
        <w:t>Fortement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associée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variation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(0.581).</w:t>
      </w:r>
    </w:p>
    <w:p>
      <w:pPr>
        <w:pStyle w:val="BodyText"/>
        <w:spacing w:before="43"/>
        <w:ind w:left="1242"/>
        <w:jc w:val="both"/>
      </w:pP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13"/>
          <w:w w:val="105"/>
        </w:rPr>
        <w:t> </w:t>
      </w:r>
      <w:r>
        <w:rPr>
          <w:w w:val="105"/>
        </w:rPr>
        <w:t>Axe</w:t>
      </w:r>
      <w:r>
        <w:rPr>
          <w:spacing w:val="4"/>
          <w:w w:val="105"/>
        </w:rPr>
        <w:t> </w:t>
      </w:r>
      <w:r>
        <w:rPr>
          <w:w w:val="105"/>
        </w:rPr>
        <w:t>financier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externe.</w:t>
      </w:r>
    </w:p>
    <w:p>
      <w:pPr>
        <w:pStyle w:val="ListParagraph"/>
        <w:numPr>
          <w:ilvl w:val="0"/>
          <w:numId w:val="8"/>
        </w:numPr>
        <w:tabs>
          <w:tab w:pos="1242" w:val="left" w:leader="none"/>
        </w:tabs>
        <w:spacing w:line="312" w:lineRule="auto" w:before="70" w:after="0"/>
        <w:ind w:left="1242" w:right="848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CP4 : </w:t>
      </w:r>
      <w:r>
        <w:rPr>
          <w:sz w:val="24"/>
        </w:rPr>
        <w:t>Explique des effets secondaires liés au taux de change (0.274), à l’infla- tion</w:t>
      </w:r>
      <w:r>
        <w:rPr>
          <w:spacing w:val="40"/>
          <w:sz w:val="24"/>
        </w:rPr>
        <w:t> </w:t>
      </w:r>
      <w:r>
        <w:rPr>
          <w:sz w:val="24"/>
        </w:rPr>
        <w:t>(0.194)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au</w:t>
      </w:r>
      <w:r>
        <w:rPr>
          <w:spacing w:val="40"/>
          <w:sz w:val="24"/>
        </w:rPr>
        <w:t> </w:t>
      </w:r>
      <w:r>
        <w:rPr>
          <w:sz w:val="24"/>
        </w:rPr>
        <w:t>rendement</w:t>
      </w:r>
      <w:r>
        <w:rPr>
          <w:spacing w:val="40"/>
          <w:sz w:val="24"/>
        </w:rPr>
        <w:t> </w:t>
      </w:r>
      <w:r>
        <w:rPr>
          <w:sz w:val="24"/>
        </w:rPr>
        <w:t>boursier</w:t>
      </w:r>
      <w:r>
        <w:rPr>
          <w:spacing w:val="40"/>
          <w:sz w:val="24"/>
        </w:rPr>
        <w:t> </w:t>
      </w:r>
      <w:r>
        <w:rPr>
          <w:sz w:val="24"/>
        </w:rPr>
        <w:t>(0.178).</w:t>
      </w:r>
    </w:p>
    <w:p>
      <w:pPr>
        <w:pStyle w:val="BodyText"/>
        <w:spacing w:line="328" w:lineRule="exact"/>
        <w:ind w:left="1242"/>
        <w:jc w:val="both"/>
      </w:pPr>
      <w:r>
        <w:rPr>
          <w:rFonts w:ascii="Lucida Sans Unicode" w:hAnsi="Lucida Sans Unicode"/>
          <w:w w:val="105"/>
        </w:rPr>
        <w:t>⇒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w w:val="105"/>
        </w:rPr>
        <w:t>Axe</w:t>
      </w:r>
      <w:r>
        <w:rPr>
          <w:spacing w:val="-3"/>
          <w:w w:val="105"/>
        </w:rPr>
        <w:t> </w:t>
      </w:r>
      <w:r>
        <w:rPr>
          <w:w w:val="105"/>
        </w:rPr>
        <w:t>financier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complémentaire.</w:t>
      </w:r>
    </w:p>
    <w:p>
      <w:pPr>
        <w:pStyle w:val="BodyText"/>
        <w:spacing w:before="182"/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0" w:after="0"/>
        <w:ind w:left="1446" w:right="0" w:hanging="719"/>
        <w:jc w:val="left"/>
      </w:pPr>
      <w:bookmarkStart w:name="Conclusion" w:id="13"/>
      <w:bookmarkEnd w:id="13"/>
      <w:r>
        <w:rPr>
          <w:b w:val="0"/>
        </w:rPr>
      </w:r>
      <w:r>
        <w:rPr>
          <w:color w:val="000066"/>
          <w:spacing w:val="-2"/>
        </w:rPr>
        <w:t>Conclusion</w:t>
      </w:r>
    </w:p>
    <w:p>
      <w:pPr>
        <w:spacing w:line="312" w:lineRule="auto" w:before="269"/>
        <w:ind w:left="727" w:right="850" w:firstLine="0"/>
        <w:jc w:val="both"/>
        <w:rPr>
          <w:sz w:val="24"/>
        </w:rPr>
      </w:pPr>
      <w:r>
        <w:rPr>
          <w:rFonts w:ascii="Georgia" w:hAnsi="Georgia"/>
          <w:b/>
          <w:sz w:val="24"/>
        </w:rPr>
        <w:t>L’analyse en composantes principales (ACP)</w:t>
      </w:r>
      <w:r>
        <w:rPr>
          <w:rFonts w:ascii="Georgia" w:hAnsi="Georgia"/>
          <w:b/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permis</w:t>
      </w:r>
      <w:r>
        <w:rPr>
          <w:spacing w:val="-3"/>
          <w:sz w:val="24"/>
        </w:rPr>
        <w:t> </w:t>
      </w:r>
      <w:r>
        <w:rPr>
          <w:sz w:val="24"/>
        </w:rPr>
        <w:t>d’identifier</w:t>
      </w:r>
      <w:r>
        <w:rPr>
          <w:spacing w:val="-3"/>
          <w:sz w:val="24"/>
        </w:rPr>
        <w:t> </w:t>
      </w:r>
      <w:r>
        <w:rPr>
          <w:sz w:val="24"/>
        </w:rPr>
        <w:t>trois</w:t>
      </w:r>
      <w:r>
        <w:rPr>
          <w:spacing w:val="-3"/>
          <w:sz w:val="24"/>
        </w:rPr>
        <w:t> </w:t>
      </w:r>
      <w:r>
        <w:rPr>
          <w:sz w:val="24"/>
        </w:rPr>
        <w:t>axes principaux qui synthétisent l’essentiel de l’information contenue dans les indicateurs macroéconomiques et financiers :</w:t>
      </w:r>
    </w:p>
    <w:p>
      <w:pPr>
        <w:pStyle w:val="ListParagraph"/>
        <w:numPr>
          <w:ilvl w:val="0"/>
          <w:numId w:val="9"/>
        </w:numPr>
        <w:tabs>
          <w:tab w:pos="1242" w:val="left" w:leader="none"/>
        </w:tabs>
        <w:spacing w:line="240" w:lineRule="auto" w:before="163" w:after="0"/>
        <w:ind w:left="1242" w:right="0" w:hanging="351"/>
        <w:jc w:val="both"/>
        <w:rPr>
          <w:sz w:val="24"/>
        </w:rPr>
      </w:pP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premier</w:t>
      </w:r>
      <w:r>
        <w:rPr>
          <w:spacing w:val="29"/>
          <w:sz w:val="24"/>
        </w:rPr>
        <w:t> </w:t>
      </w:r>
      <w:r>
        <w:rPr>
          <w:sz w:val="24"/>
        </w:rPr>
        <w:t>axe</w:t>
      </w:r>
      <w:r>
        <w:rPr>
          <w:spacing w:val="28"/>
          <w:sz w:val="24"/>
        </w:rPr>
        <w:t> </w:t>
      </w:r>
      <w:r>
        <w:rPr>
          <w:sz w:val="24"/>
        </w:rPr>
        <w:t>reflète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dynamique</w:t>
      </w:r>
      <w:r>
        <w:rPr>
          <w:spacing w:val="28"/>
          <w:sz w:val="24"/>
        </w:rPr>
        <w:t> </w:t>
      </w:r>
      <w:r>
        <w:rPr>
          <w:sz w:val="24"/>
        </w:rPr>
        <w:t>réelle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l’économie,</w:t>
      </w:r>
    </w:p>
    <w:p>
      <w:pPr>
        <w:pStyle w:val="ListParagraph"/>
        <w:numPr>
          <w:ilvl w:val="0"/>
          <w:numId w:val="9"/>
        </w:numPr>
        <w:tabs>
          <w:tab w:pos="1242" w:val="left" w:leader="none"/>
        </w:tabs>
        <w:spacing w:line="240" w:lineRule="auto" w:before="124" w:after="0"/>
        <w:ind w:left="1242" w:right="0" w:hanging="351"/>
        <w:jc w:val="both"/>
        <w:rPr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deuxième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axe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associé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conditions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monétaires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stabilité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externe,</w:t>
      </w:r>
    </w:p>
    <w:p>
      <w:pPr>
        <w:pStyle w:val="ListParagraph"/>
        <w:numPr>
          <w:ilvl w:val="0"/>
          <w:numId w:val="9"/>
        </w:numPr>
        <w:tabs>
          <w:tab w:pos="1242" w:val="left" w:leader="none"/>
        </w:tabs>
        <w:spacing w:line="312" w:lineRule="auto" w:before="124" w:after="0"/>
        <w:ind w:left="1242" w:right="848" w:hanging="352"/>
        <w:jc w:val="both"/>
        <w:rPr>
          <w:sz w:val="24"/>
        </w:rPr>
      </w:pPr>
      <w:r>
        <w:rPr>
          <w:w w:val="105"/>
          <w:sz w:val="24"/>
        </w:rPr>
        <w:t>Le</w:t>
      </w:r>
      <w:r>
        <w:rPr>
          <w:w w:val="105"/>
          <w:sz w:val="24"/>
        </w:rPr>
        <w:t> troisième</w:t>
      </w:r>
      <w:r>
        <w:rPr>
          <w:w w:val="105"/>
          <w:sz w:val="24"/>
        </w:rPr>
        <w:t> axe,</w:t>
      </w:r>
      <w:r>
        <w:rPr>
          <w:w w:val="105"/>
          <w:sz w:val="24"/>
        </w:rPr>
        <w:t> bien</w:t>
      </w:r>
      <w:r>
        <w:rPr>
          <w:w w:val="105"/>
          <w:sz w:val="24"/>
        </w:rPr>
        <w:t> que</w:t>
      </w:r>
      <w:r>
        <w:rPr>
          <w:w w:val="105"/>
          <w:sz w:val="24"/>
        </w:rPr>
        <w:t> moins</w:t>
      </w:r>
      <w:r>
        <w:rPr>
          <w:w w:val="105"/>
          <w:sz w:val="24"/>
        </w:rPr>
        <w:t> influent,</w:t>
      </w:r>
      <w:r>
        <w:rPr>
          <w:w w:val="105"/>
          <w:sz w:val="24"/>
        </w:rPr>
        <w:t> met</w:t>
      </w:r>
      <w:r>
        <w:rPr>
          <w:w w:val="105"/>
          <w:sz w:val="24"/>
        </w:rPr>
        <w:t> en</w:t>
      </w:r>
      <w:r>
        <w:rPr>
          <w:w w:val="105"/>
          <w:sz w:val="24"/>
        </w:rPr>
        <w:t> évidence</w:t>
      </w:r>
      <w:r>
        <w:rPr>
          <w:w w:val="105"/>
          <w:sz w:val="24"/>
        </w:rPr>
        <w:t> la</w:t>
      </w:r>
      <w:r>
        <w:rPr>
          <w:w w:val="105"/>
          <w:sz w:val="24"/>
        </w:rPr>
        <w:t> dynamique</w:t>
      </w:r>
      <w:r>
        <w:rPr>
          <w:w w:val="105"/>
          <w:sz w:val="24"/>
        </w:rPr>
        <w:t> du marché boursier.</w:t>
      </w:r>
    </w:p>
    <w:p>
      <w:pPr>
        <w:pStyle w:val="BodyText"/>
        <w:spacing w:line="312" w:lineRule="auto" w:before="164"/>
        <w:ind w:left="727" w:right="848"/>
        <w:jc w:val="both"/>
      </w:pPr>
      <w:r>
        <w:rPr>
          <w:w w:val="105"/>
        </w:rPr>
        <w:t>Cette</w:t>
      </w:r>
      <w:r>
        <w:rPr>
          <w:spacing w:val="-16"/>
          <w:w w:val="105"/>
        </w:rPr>
        <w:t> </w:t>
      </w:r>
      <w:r>
        <w:rPr>
          <w:w w:val="105"/>
        </w:rPr>
        <w:t>réduction</w:t>
      </w:r>
      <w:r>
        <w:rPr>
          <w:spacing w:val="-16"/>
          <w:w w:val="105"/>
        </w:rPr>
        <w:t> </w:t>
      </w:r>
      <w:r>
        <w:rPr>
          <w:w w:val="105"/>
        </w:rPr>
        <w:t>dimensionnelle</w:t>
      </w:r>
      <w:r>
        <w:rPr>
          <w:spacing w:val="-16"/>
          <w:w w:val="105"/>
        </w:rPr>
        <w:t> </w:t>
      </w:r>
      <w:r>
        <w:rPr>
          <w:w w:val="105"/>
        </w:rPr>
        <w:t>facilite</w:t>
      </w:r>
      <w:r>
        <w:rPr>
          <w:spacing w:val="-15"/>
          <w:w w:val="105"/>
        </w:rPr>
        <w:t> </w:t>
      </w:r>
      <w:r>
        <w:rPr>
          <w:w w:val="105"/>
        </w:rPr>
        <w:t>l’analyse</w:t>
      </w:r>
      <w:r>
        <w:rPr>
          <w:spacing w:val="-16"/>
          <w:w w:val="105"/>
        </w:rPr>
        <w:t> </w:t>
      </w:r>
      <w:r>
        <w:rPr>
          <w:w w:val="105"/>
        </w:rPr>
        <w:t>globale</w:t>
      </w:r>
      <w:r>
        <w:rPr>
          <w:spacing w:val="-16"/>
          <w:w w:val="105"/>
        </w:rPr>
        <w:t> </w:t>
      </w:r>
      <w:r>
        <w:rPr>
          <w:w w:val="105"/>
        </w:rPr>
        <w:t>des</w:t>
      </w:r>
      <w:r>
        <w:rPr>
          <w:spacing w:val="-16"/>
          <w:w w:val="105"/>
        </w:rPr>
        <w:t> </w:t>
      </w:r>
      <w:r>
        <w:rPr>
          <w:w w:val="105"/>
        </w:rPr>
        <w:t>relations</w:t>
      </w:r>
      <w:r>
        <w:rPr>
          <w:spacing w:val="-15"/>
          <w:w w:val="105"/>
        </w:rPr>
        <w:t> </w:t>
      </w:r>
      <w:r>
        <w:rPr>
          <w:w w:val="105"/>
        </w:rPr>
        <w:t>entre</w:t>
      </w:r>
      <w:r>
        <w:rPr>
          <w:spacing w:val="-16"/>
          <w:w w:val="105"/>
        </w:rPr>
        <w:t> </w:t>
      </w:r>
      <w:r>
        <w:rPr>
          <w:w w:val="105"/>
        </w:rPr>
        <w:t>variables, améliore</w:t>
      </w:r>
      <w:r>
        <w:rPr>
          <w:spacing w:val="-16"/>
          <w:w w:val="105"/>
        </w:rPr>
        <w:t> </w:t>
      </w:r>
      <w:r>
        <w:rPr>
          <w:w w:val="105"/>
        </w:rPr>
        <w:t>l’interprétation</w:t>
      </w:r>
      <w:r>
        <w:rPr>
          <w:spacing w:val="-16"/>
          <w:w w:val="105"/>
        </w:rPr>
        <w:t> </w:t>
      </w:r>
      <w:r>
        <w:rPr>
          <w:w w:val="105"/>
        </w:rPr>
        <w:t>économique</w:t>
      </w:r>
      <w:r>
        <w:rPr>
          <w:spacing w:val="-15"/>
          <w:w w:val="105"/>
        </w:rPr>
        <w:t> </w:t>
      </w:r>
      <w:r>
        <w:rPr>
          <w:w w:val="105"/>
        </w:rPr>
        <w:t>et</w:t>
      </w:r>
      <w:r>
        <w:rPr>
          <w:spacing w:val="-16"/>
          <w:w w:val="105"/>
        </w:rPr>
        <w:t> </w:t>
      </w:r>
      <w:r>
        <w:rPr>
          <w:w w:val="105"/>
        </w:rPr>
        <w:t>permet</w:t>
      </w:r>
      <w:r>
        <w:rPr>
          <w:spacing w:val="-16"/>
          <w:w w:val="105"/>
        </w:rPr>
        <w:t> </w:t>
      </w:r>
      <w:r>
        <w:rPr>
          <w:w w:val="105"/>
        </w:rPr>
        <w:t>une</w:t>
      </w:r>
      <w:r>
        <w:rPr>
          <w:spacing w:val="-15"/>
          <w:w w:val="105"/>
        </w:rPr>
        <w:t> </w:t>
      </w:r>
      <w:r>
        <w:rPr>
          <w:w w:val="105"/>
        </w:rPr>
        <w:t>intégration</w:t>
      </w:r>
      <w:r>
        <w:rPr>
          <w:spacing w:val="-16"/>
          <w:w w:val="105"/>
        </w:rPr>
        <w:t> </w:t>
      </w:r>
      <w:r>
        <w:rPr>
          <w:w w:val="105"/>
        </w:rPr>
        <w:t>plus</w:t>
      </w:r>
      <w:r>
        <w:rPr>
          <w:spacing w:val="-16"/>
          <w:w w:val="105"/>
        </w:rPr>
        <w:t> </w:t>
      </w:r>
      <w:r>
        <w:rPr>
          <w:w w:val="105"/>
        </w:rPr>
        <w:t>efficace</w:t>
      </w:r>
      <w:r>
        <w:rPr>
          <w:spacing w:val="-15"/>
          <w:w w:val="105"/>
        </w:rPr>
        <w:t> </w:t>
      </w:r>
      <w:r>
        <w:rPr>
          <w:w w:val="105"/>
        </w:rPr>
        <w:t>dans</w:t>
      </w:r>
      <w:r>
        <w:rPr>
          <w:spacing w:val="-16"/>
          <w:w w:val="105"/>
        </w:rPr>
        <w:t> </w:t>
      </w:r>
      <w:r>
        <w:rPr>
          <w:w w:val="105"/>
        </w:rPr>
        <w:t>des modèles économétriques ultérieurs, tout en limitant les problèmes de multicolinéa- </w:t>
      </w:r>
      <w:bookmarkStart w:name="Code R de ACP" w:id="14"/>
      <w:bookmarkEnd w:id="14"/>
      <w:r>
        <w:rPr>
          <w:spacing w:val="-4"/>
          <w:w w:val="105"/>
        </w:rPr>
        <w:t>rité.</w:t>
      </w:r>
    </w:p>
    <w:p>
      <w:pPr>
        <w:pStyle w:val="BodyText"/>
        <w:spacing w:after="0" w:line="312" w:lineRule="auto"/>
        <w:jc w:val="both"/>
        <w:sectPr>
          <w:pgSz w:w="11910" w:h="16840"/>
          <w:pgMar w:header="657" w:footer="0" w:top="1340" w:bottom="280" w:left="1275" w:right="566"/>
        </w:sectPr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131" w:after="0"/>
        <w:ind w:left="1446" w:right="0" w:hanging="719"/>
        <w:jc w:val="left"/>
      </w:pPr>
      <w:r>
        <w:rPr>
          <w:color w:val="000066"/>
          <w:w w:val="105"/>
        </w:rPr>
        <w:t>Code</w:t>
      </w:r>
      <w:r>
        <w:rPr>
          <w:color w:val="000066"/>
          <w:spacing w:val="-3"/>
          <w:w w:val="105"/>
        </w:rPr>
        <w:t> </w:t>
      </w:r>
      <w:r>
        <w:rPr>
          <w:color w:val="000066"/>
          <w:w w:val="105"/>
        </w:rPr>
        <w:t>R</w:t>
      </w:r>
      <w:r>
        <w:rPr>
          <w:color w:val="000066"/>
          <w:spacing w:val="-3"/>
          <w:w w:val="105"/>
        </w:rPr>
        <w:t> </w:t>
      </w:r>
      <w:r>
        <w:rPr>
          <w:color w:val="000066"/>
          <w:w w:val="105"/>
        </w:rPr>
        <w:t>de</w:t>
      </w:r>
      <w:r>
        <w:rPr>
          <w:color w:val="000066"/>
          <w:spacing w:val="-3"/>
          <w:w w:val="105"/>
        </w:rPr>
        <w:t> </w:t>
      </w:r>
      <w:r>
        <w:rPr>
          <w:color w:val="000066"/>
          <w:spacing w:val="-5"/>
          <w:w w:val="105"/>
        </w:rPr>
        <w:t>ACP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4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1188021</wp:posOffset>
            </wp:positionH>
            <wp:positionV relativeFrom="paragraph">
              <wp:posOffset>189264</wp:posOffset>
            </wp:positionV>
            <wp:extent cx="5205222" cy="3641979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5222" cy="3641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7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1188021</wp:posOffset>
            </wp:positionH>
            <wp:positionV relativeFrom="paragraph">
              <wp:posOffset>207832</wp:posOffset>
            </wp:positionV>
            <wp:extent cx="5230368" cy="1165098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1165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91"/>
        <w:rPr>
          <w:rFonts w:ascii="Georgia"/>
          <w:b/>
        </w:rPr>
      </w:pPr>
    </w:p>
    <w:p>
      <w:pPr>
        <w:pStyle w:val="Heading3"/>
      </w:pPr>
      <w:r>
        <w:rPr>
          <w:spacing w:val="-2"/>
        </w:rPr>
        <w:t>Résultat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3"/>
        <w:spacing w:after="0"/>
        <w:sectPr>
          <w:pgSz w:w="11910" w:h="16840"/>
          <w:pgMar w:header="657" w:footer="0" w:top="1340" w:bottom="280" w:left="1275" w:right="566"/>
        </w:sectPr>
      </w:pPr>
    </w:p>
    <w:p>
      <w:pPr>
        <w:pStyle w:val="BodyText"/>
        <w:spacing w:before="8"/>
        <w:rPr>
          <w:rFonts w:ascii="Georgia"/>
          <w:b/>
          <w:sz w:val="6"/>
        </w:rPr>
      </w:pPr>
    </w:p>
    <w:p>
      <w:pPr>
        <w:pStyle w:val="BodyText"/>
        <w:ind w:left="1502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4076700" cy="283082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3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pStyle w:val="BodyText"/>
        <w:spacing w:before="136"/>
        <w:rPr>
          <w:rFonts w:ascii="Georgia"/>
          <w:b/>
        </w:rPr>
      </w:pPr>
    </w:p>
    <w:p>
      <w:pPr>
        <w:spacing w:before="1"/>
        <w:ind w:left="727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Interprétation</w:t>
      </w:r>
      <w:r>
        <w:rPr>
          <w:rFonts w:ascii="Georgia" w:hAnsi="Georgia"/>
          <w:b/>
          <w:spacing w:val="41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1"/>
          <w:sz w:val="24"/>
        </w:rPr>
        <w:t> </w:t>
      </w:r>
      <w:r>
        <w:rPr>
          <w:rFonts w:ascii="Georgia" w:hAnsi="Georgia"/>
          <w:b/>
          <w:w w:val="90"/>
          <w:sz w:val="24"/>
        </w:rPr>
        <w:t>résultats</w:t>
      </w:r>
      <w:r>
        <w:rPr>
          <w:rFonts w:ascii="Georgia" w:hAnsi="Georgia"/>
          <w:b/>
          <w:spacing w:val="41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0"/>
          <w:numId w:val="10"/>
        </w:numPr>
        <w:tabs>
          <w:tab w:pos="1242" w:val="left" w:leader="none"/>
        </w:tabs>
        <w:spacing w:line="297" w:lineRule="auto" w:before="159" w:after="0"/>
        <w:ind w:left="1242" w:right="849" w:hanging="352"/>
        <w:jc w:val="left"/>
        <w:rPr>
          <w:sz w:val="24"/>
        </w:rPr>
      </w:pPr>
      <w:r>
        <w:rPr>
          <w:w w:val="105"/>
          <w:sz w:val="24"/>
        </w:rPr>
        <w:t>Le premier axe (Dim.1) explique </w:t>
      </w:r>
      <w:r>
        <w:rPr>
          <w:rFonts w:ascii="Calibri" w:hAnsi="Calibri"/>
          <w:w w:val="105"/>
          <w:sz w:val="24"/>
        </w:rPr>
        <w:t>31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82%</w:t>
      </w:r>
      <w:r>
        <w:rPr>
          <w:rFonts w:ascii="Calibri" w:hAnsi="Calibri"/>
          <w:spacing w:val="25"/>
          <w:w w:val="105"/>
          <w:sz w:val="24"/>
        </w:rPr>
        <w:t> </w:t>
      </w:r>
      <w:r>
        <w:rPr>
          <w:w w:val="105"/>
          <w:sz w:val="24"/>
        </w:rPr>
        <w:t>de la</w:t>
      </w:r>
      <w:r>
        <w:rPr>
          <w:w w:val="105"/>
          <w:sz w:val="24"/>
        </w:rPr>
        <w:t> variance totale, ce qui en fait l’axe le plus important.</w:t>
      </w:r>
    </w:p>
    <w:p>
      <w:pPr>
        <w:pStyle w:val="ListParagraph"/>
        <w:numPr>
          <w:ilvl w:val="0"/>
          <w:numId w:val="10"/>
        </w:numPr>
        <w:tabs>
          <w:tab w:pos="1242" w:val="left" w:leader="none"/>
        </w:tabs>
        <w:spacing w:line="240" w:lineRule="auto" w:before="53" w:after="0"/>
        <w:ind w:left="1242" w:right="0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deuxième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axe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(Dim.2)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contribue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hauteur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20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> </w:t>
      </w:r>
      <w:r>
        <w:rPr>
          <w:rFonts w:ascii="Calibri" w:hAnsi="Calibri"/>
          <w:spacing w:val="-4"/>
          <w:w w:val="105"/>
          <w:sz w:val="24"/>
        </w:rPr>
        <w:t>26%</w:t>
      </w:r>
      <w:r>
        <w:rPr>
          <w:spacing w:val="-4"/>
          <w:w w:val="105"/>
          <w:sz w:val="24"/>
        </w:rPr>
        <w:t>.</w:t>
      </w:r>
    </w:p>
    <w:p>
      <w:pPr>
        <w:pStyle w:val="ListParagraph"/>
        <w:numPr>
          <w:ilvl w:val="0"/>
          <w:numId w:val="10"/>
        </w:numPr>
        <w:tabs>
          <w:tab w:pos="1242" w:val="left" w:leader="none"/>
        </w:tabs>
        <w:spacing w:line="297" w:lineRule="auto" w:before="107" w:after="0"/>
        <w:ind w:left="1242" w:right="848" w:hanging="352"/>
        <w:jc w:val="left"/>
        <w:rPr>
          <w:sz w:val="24"/>
        </w:rPr>
      </w:pPr>
      <w:r>
        <w:rPr>
          <w:w w:val="105"/>
          <w:sz w:val="24"/>
        </w:rPr>
        <w:t>Ensemble, le premier plan factoriel (Dim.1 + Dim.2) résume </w:t>
      </w:r>
      <w:r>
        <w:rPr>
          <w:rFonts w:ascii="Calibri" w:hAnsi="Calibri"/>
          <w:w w:val="105"/>
          <w:sz w:val="24"/>
        </w:rPr>
        <w:t>52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09%</w:t>
      </w:r>
      <w:r>
        <w:rPr>
          <w:rFonts w:ascii="Calibri" w:hAnsi="Calibri"/>
          <w:spacing w:val="22"/>
          <w:w w:val="105"/>
          <w:sz w:val="24"/>
        </w:rPr>
        <w:t> </w:t>
      </w:r>
      <w:r>
        <w:rPr>
          <w:w w:val="105"/>
          <w:sz w:val="24"/>
        </w:rPr>
        <w:t>de l’in- formation contenue dans les données.</w:t>
      </w:r>
    </w:p>
    <w:p>
      <w:pPr>
        <w:pStyle w:val="ListParagraph"/>
        <w:numPr>
          <w:ilvl w:val="0"/>
          <w:numId w:val="10"/>
        </w:numPr>
        <w:tabs>
          <w:tab w:pos="1242" w:val="left" w:leader="none"/>
        </w:tabs>
        <w:spacing w:line="297" w:lineRule="auto" w:before="53" w:after="0"/>
        <w:ind w:left="1242" w:right="849" w:hanging="352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considérant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cinq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premières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dimensions,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atteint</w:t>
      </w:r>
      <w:r>
        <w:rPr>
          <w:spacing w:val="2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87</w:t>
      </w:r>
      <w:r>
        <w:rPr>
          <w:rFonts w:ascii="Calibri" w:hAnsi="Calibri"/>
          <w:i/>
          <w:w w:val="105"/>
          <w:sz w:val="24"/>
        </w:rPr>
        <w:t>,</w:t>
      </w:r>
      <w:r>
        <w:rPr>
          <w:rFonts w:ascii="Calibri" w:hAnsi="Calibri"/>
          <w:i/>
          <w:spacing w:val="-1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74%</w:t>
      </w:r>
      <w:r>
        <w:rPr>
          <w:rFonts w:ascii="Calibri" w:hAnsi="Calibri"/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l’inertie totale,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garantissant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excellente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représentation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données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initiale.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2051977</wp:posOffset>
            </wp:positionH>
            <wp:positionV relativeFrom="paragraph">
              <wp:posOffset>170159</wp:posOffset>
            </wp:positionV>
            <wp:extent cx="3403282" cy="3604736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282" cy="3604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657" w:footer="0" w:top="1340" w:bottom="280" w:left="1275" w:right="566"/>
        </w:sectPr>
      </w:pPr>
    </w:p>
    <w:p>
      <w:pPr>
        <w:pStyle w:val="Heading3"/>
        <w:spacing w:before="95"/>
        <w:jc w:val="both"/>
      </w:pPr>
      <w:r>
        <w:rPr>
          <w:w w:val="90"/>
        </w:rPr>
        <w:t>Interprétation</w:t>
      </w:r>
      <w:r>
        <w:rPr>
          <w:spacing w:val="41"/>
        </w:rPr>
        <w:t> </w:t>
      </w:r>
      <w:r>
        <w:rPr>
          <w:w w:val="90"/>
        </w:rPr>
        <w:t>des</w:t>
      </w:r>
      <w:r>
        <w:rPr>
          <w:spacing w:val="41"/>
        </w:rPr>
        <w:t> </w:t>
      </w:r>
      <w:r>
        <w:rPr>
          <w:w w:val="90"/>
        </w:rPr>
        <w:t>résultats</w:t>
      </w:r>
      <w:r>
        <w:rPr>
          <w:spacing w:val="41"/>
        </w:rPr>
        <w:t> </w:t>
      </w:r>
      <w:r>
        <w:rPr>
          <w:spacing w:val="-10"/>
          <w:w w:val="90"/>
        </w:rPr>
        <w:t>:</w:t>
      </w:r>
    </w:p>
    <w:p>
      <w:pPr>
        <w:pStyle w:val="ListParagraph"/>
        <w:numPr>
          <w:ilvl w:val="0"/>
          <w:numId w:val="10"/>
        </w:numPr>
        <w:tabs>
          <w:tab w:pos="1242" w:val="left" w:leader="none"/>
        </w:tabs>
        <w:spacing w:line="312" w:lineRule="auto" w:before="164" w:after="0"/>
        <w:ind w:left="1242" w:right="848" w:hanging="352"/>
        <w:jc w:val="left"/>
        <w:rPr>
          <w:sz w:val="24"/>
        </w:rPr>
      </w:pPr>
      <w:r>
        <w:rPr>
          <w:w w:val="105"/>
          <w:sz w:val="24"/>
        </w:rPr>
        <w:t>Le cercle des corrélations indique la contribution de chaque variable aux axes </w:t>
      </w:r>
      <w:r>
        <w:rPr>
          <w:spacing w:val="-2"/>
          <w:w w:val="105"/>
          <w:sz w:val="24"/>
        </w:rPr>
        <w:t>principaux.</w:t>
      </w:r>
    </w:p>
    <w:p>
      <w:pPr>
        <w:pStyle w:val="ListParagraph"/>
        <w:numPr>
          <w:ilvl w:val="0"/>
          <w:numId w:val="10"/>
        </w:numPr>
        <w:tabs>
          <w:tab w:pos="1242" w:val="left" w:leader="none"/>
        </w:tabs>
        <w:spacing w:line="312" w:lineRule="auto" w:before="41" w:after="0"/>
        <w:ind w:left="1242" w:right="849" w:hanging="352"/>
        <w:jc w:val="left"/>
        <w:rPr>
          <w:sz w:val="24"/>
        </w:rPr>
      </w:pPr>
      <w:r>
        <w:rPr>
          <w:w w:val="105"/>
          <w:sz w:val="24"/>
        </w:rPr>
        <w:t>Plus un vecteur est proche du cercle, plus sa représentation sur les deux pre-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miers axes est fidèle.</w:t>
      </w:r>
    </w:p>
    <w:p>
      <w:pPr>
        <w:pStyle w:val="ListParagraph"/>
        <w:numPr>
          <w:ilvl w:val="0"/>
          <w:numId w:val="10"/>
        </w:numPr>
        <w:tabs>
          <w:tab w:pos="1242" w:val="left" w:leader="none"/>
        </w:tabs>
        <w:spacing w:line="312" w:lineRule="auto" w:before="40" w:after="0"/>
        <w:ind w:left="1242" w:right="848" w:hanging="352"/>
        <w:jc w:val="left"/>
        <w:rPr>
          <w:sz w:val="24"/>
        </w:rPr>
      </w:pPr>
      <w:r>
        <w:rPr>
          <w:w w:val="105"/>
          <w:sz w:val="24"/>
        </w:rPr>
        <w:t>La projection des individus sur PC1 et PC2 permet de visualiser la similarité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ou la dissimilarité entre les observations dans l’espace réduit.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8"/>
      </w:pPr>
    </w:p>
    <w:p>
      <w:pPr>
        <w:pStyle w:val="Heading1"/>
        <w:numPr>
          <w:ilvl w:val="0"/>
          <w:numId w:val="1"/>
        </w:numPr>
        <w:tabs>
          <w:tab w:pos="1284" w:val="left" w:leader="none"/>
        </w:tabs>
        <w:spacing w:line="240" w:lineRule="auto" w:before="0" w:after="0"/>
        <w:ind w:left="1284" w:right="0" w:hanging="557"/>
        <w:jc w:val="left"/>
      </w:pPr>
      <w:bookmarkStart w:name="Analyse des Correspondances Multiples (A" w:id="15"/>
      <w:bookmarkEnd w:id="15"/>
      <w:r>
        <w:rPr>
          <w:b w:val="0"/>
        </w:rPr>
      </w:r>
      <w:r>
        <w:rPr>
          <w:color w:val="FF0000"/>
        </w:rPr>
        <w:t>Analyse</w:t>
      </w:r>
      <w:r>
        <w:rPr>
          <w:color w:val="FF0000"/>
          <w:spacing w:val="76"/>
        </w:rPr>
        <w:t> </w:t>
      </w:r>
      <w:r>
        <w:rPr>
          <w:color w:val="FF0000"/>
        </w:rPr>
        <w:t>des</w:t>
      </w:r>
      <w:r>
        <w:rPr>
          <w:color w:val="FF0000"/>
          <w:spacing w:val="78"/>
        </w:rPr>
        <w:t> </w:t>
      </w:r>
      <w:r>
        <w:rPr>
          <w:color w:val="FF0000"/>
        </w:rPr>
        <w:t>Correspondances</w:t>
      </w:r>
      <w:r>
        <w:rPr>
          <w:color w:val="FF0000"/>
          <w:spacing w:val="77"/>
        </w:rPr>
        <w:t> </w:t>
      </w:r>
      <w:r>
        <w:rPr>
          <w:color w:val="FF0000"/>
        </w:rPr>
        <w:t>Multiples</w:t>
      </w:r>
      <w:r>
        <w:rPr>
          <w:color w:val="FF0000"/>
          <w:spacing w:val="78"/>
        </w:rPr>
        <w:t> </w:t>
      </w:r>
      <w:r>
        <w:rPr>
          <w:color w:val="FF0000"/>
          <w:spacing w:val="-2"/>
        </w:rPr>
        <w:t>(ACM)</w:t>
      </w:r>
    </w:p>
    <w:p>
      <w:pPr>
        <w:pStyle w:val="BodyText"/>
        <w:spacing w:before="42"/>
        <w:rPr>
          <w:rFonts w:ascii="Cambria"/>
          <w:b/>
          <w:sz w:val="34"/>
        </w:rPr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0" w:after="0"/>
        <w:ind w:left="1446" w:right="0" w:hanging="719"/>
        <w:jc w:val="left"/>
      </w:pPr>
      <w:bookmarkStart w:name="Cadre théorique" w:id="16"/>
      <w:bookmarkEnd w:id="16"/>
      <w:r>
        <w:rPr>
          <w:b w:val="0"/>
        </w:rPr>
      </w:r>
      <w:r>
        <w:rPr>
          <w:color w:val="000066"/>
        </w:rPr>
        <w:t>Cadre</w:t>
      </w:r>
      <w:r>
        <w:rPr>
          <w:color w:val="000066"/>
          <w:spacing w:val="-2"/>
        </w:rPr>
        <w:t> théorique</w:t>
      </w:r>
    </w:p>
    <w:p>
      <w:pPr>
        <w:pStyle w:val="BodyText"/>
        <w:spacing w:line="312" w:lineRule="auto" w:before="268"/>
        <w:ind w:left="727" w:right="848"/>
        <w:jc w:val="both"/>
      </w:pPr>
      <w:r>
        <w:rPr>
          <w:rFonts w:ascii="Georgia" w:hAnsi="Georgia"/>
          <w:b/>
          <w:spacing w:val="-2"/>
        </w:rPr>
        <w:t>L’Analyse</w:t>
      </w:r>
      <w:r>
        <w:rPr>
          <w:rFonts w:ascii="Georgia" w:hAnsi="Georgia"/>
          <w:b/>
          <w:spacing w:val="-14"/>
        </w:rPr>
        <w:t> </w:t>
      </w:r>
      <w:r>
        <w:rPr>
          <w:rFonts w:ascii="Georgia" w:hAnsi="Georgia"/>
          <w:b/>
          <w:spacing w:val="-2"/>
        </w:rPr>
        <w:t>des</w:t>
      </w:r>
      <w:r>
        <w:rPr>
          <w:rFonts w:ascii="Georgia" w:hAnsi="Georgia"/>
          <w:b/>
          <w:spacing w:val="-13"/>
        </w:rPr>
        <w:t> </w:t>
      </w:r>
      <w:r>
        <w:rPr>
          <w:rFonts w:ascii="Georgia" w:hAnsi="Georgia"/>
          <w:b/>
          <w:spacing w:val="-2"/>
        </w:rPr>
        <w:t>Correspondances</w:t>
      </w:r>
      <w:r>
        <w:rPr>
          <w:rFonts w:ascii="Georgia" w:hAnsi="Georgia"/>
          <w:b/>
          <w:spacing w:val="-13"/>
        </w:rPr>
        <w:t> </w:t>
      </w:r>
      <w:r>
        <w:rPr>
          <w:rFonts w:ascii="Georgia" w:hAnsi="Georgia"/>
          <w:b/>
          <w:spacing w:val="-2"/>
        </w:rPr>
        <w:t>Multiples</w:t>
      </w:r>
      <w:r>
        <w:rPr>
          <w:rFonts w:ascii="Georgia" w:hAnsi="Georgia"/>
          <w:b/>
          <w:spacing w:val="-12"/>
        </w:rPr>
        <w:t> </w:t>
      </w:r>
      <w:r>
        <w:rPr>
          <w:rFonts w:ascii="Georgia" w:hAnsi="Georgia"/>
          <w:b/>
          <w:spacing w:val="-2"/>
        </w:rPr>
        <w:t>(ACM)</w:t>
      </w:r>
      <w:r>
        <w:rPr>
          <w:rFonts w:ascii="Georgia" w:hAnsi="Georgia"/>
          <w:b/>
          <w:spacing w:val="-13"/>
        </w:rPr>
        <w:t> </w:t>
      </w:r>
      <w:r>
        <w:rPr>
          <w:spacing w:val="-2"/>
        </w:rPr>
        <w:t>est</w:t>
      </w:r>
      <w:r>
        <w:rPr>
          <w:spacing w:val="-13"/>
        </w:rPr>
        <w:t> </w:t>
      </w:r>
      <w:r>
        <w:rPr>
          <w:spacing w:val="-2"/>
        </w:rPr>
        <w:t>une</w:t>
      </w:r>
      <w:r>
        <w:rPr>
          <w:spacing w:val="-13"/>
        </w:rPr>
        <w:t> </w:t>
      </w:r>
      <w:r>
        <w:rPr>
          <w:spacing w:val="-2"/>
        </w:rPr>
        <w:t>extension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l’Ana- </w:t>
      </w:r>
      <w:r>
        <w:rPr>
          <w:w w:val="105"/>
        </w:rPr>
        <w:t>lyse des Correspondances Simples appliquée à plusieurs variables qualitatives. Elle permet</w:t>
      </w:r>
      <w:r>
        <w:rPr>
          <w:w w:val="105"/>
        </w:rPr>
        <w:t> d’étudier</w:t>
      </w:r>
      <w:r>
        <w:rPr>
          <w:w w:val="105"/>
        </w:rPr>
        <w:t> les</w:t>
      </w:r>
      <w:r>
        <w:rPr>
          <w:w w:val="105"/>
        </w:rPr>
        <w:t> associations</w:t>
      </w:r>
      <w:r>
        <w:rPr>
          <w:w w:val="105"/>
        </w:rPr>
        <w:t> entre</w:t>
      </w:r>
      <w:r>
        <w:rPr>
          <w:w w:val="105"/>
        </w:rPr>
        <w:t> modalités</w:t>
      </w:r>
      <w:r>
        <w:rPr>
          <w:w w:val="105"/>
        </w:rPr>
        <w:t> et</w:t>
      </w:r>
      <w:r>
        <w:rPr>
          <w:w w:val="105"/>
        </w:rPr>
        <w:t> d’identifier</w:t>
      </w:r>
      <w:r>
        <w:rPr>
          <w:w w:val="105"/>
        </w:rPr>
        <w:t> des</w:t>
      </w:r>
      <w:r>
        <w:rPr>
          <w:w w:val="105"/>
        </w:rPr>
        <w:t> structures</w:t>
      </w:r>
      <w:r>
        <w:rPr>
          <w:w w:val="105"/>
        </w:rPr>
        <w:t> la- </w:t>
      </w:r>
      <w:r>
        <w:rPr>
          <w:spacing w:val="-2"/>
          <w:w w:val="105"/>
        </w:rPr>
        <w:t>tentes.</w:t>
      </w:r>
    </w:p>
    <w:p>
      <w:pPr>
        <w:pStyle w:val="BodyText"/>
        <w:spacing w:line="266" w:lineRule="auto" w:before="35"/>
        <w:ind w:left="727" w:right="850"/>
        <w:jc w:val="both"/>
      </w:pPr>
      <w:r>
        <w:rPr>
          <w:w w:val="115"/>
        </w:rPr>
        <w:t>Soit</w:t>
      </w:r>
      <w:r>
        <w:rPr>
          <w:spacing w:val="-7"/>
          <w:w w:val="115"/>
        </w:rPr>
        <w:t> </w:t>
      </w:r>
      <w:r>
        <w:rPr>
          <w:rFonts w:ascii="Calibri" w:hAnsi="Calibri"/>
          <w:i/>
          <w:w w:val="115"/>
        </w:rPr>
        <w:t>n</w:t>
      </w:r>
      <w:r>
        <w:rPr>
          <w:rFonts w:ascii="Calibri" w:hAnsi="Calibri"/>
          <w:i/>
          <w:w w:val="115"/>
        </w:rPr>
        <w:t> </w:t>
      </w:r>
      <w:r>
        <w:rPr>
          <w:w w:val="115"/>
        </w:rPr>
        <w:t>individus</w:t>
      </w:r>
      <w:r>
        <w:rPr>
          <w:spacing w:val="-7"/>
          <w:w w:val="115"/>
        </w:rPr>
        <w:t> </w:t>
      </w:r>
      <w:r>
        <w:rPr>
          <w:w w:val="115"/>
        </w:rPr>
        <w:t>décrits</w:t>
      </w:r>
      <w:r>
        <w:rPr>
          <w:spacing w:val="-7"/>
          <w:w w:val="115"/>
        </w:rPr>
        <w:t> </w:t>
      </w:r>
      <w:r>
        <w:rPr>
          <w:w w:val="115"/>
        </w:rPr>
        <w:t>par</w:t>
      </w:r>
      <w:r>
        <w:rPr>
          <w:spacing w:val="-7"/>
          <w:w w:val="115"/>
        </w:rPr>
        <w:t> </w:t>
      </w:r>
      <w:r>
        <w:rPr>
          <w:rFonts w:ascii="Calibri" w:hAnsi="Calibri"/>
          <w:i/>
          <w:w w:val="140"/>
        </w:rPr>
        <w:t>K</w:t>
      </w:r>
      <w:r>
        <w:rPr>
          <w:rFonts w:ascii="Calibri" w:hAnsi="Calibri"/>
          <w:i/>
          <w:spacing w:val="-4"/>
          <w:w w:val="140"/>
        </w:rPr>
        <w:t> </w:t>
      </w:r>
      <w:r>
        <w:rPr>
          <w:w w:val="115"/>
        </w:rPr>
        <w:t>variables</w:t>
      </w:r>
      <w:r>
        <w:rPr>
          <w:spacing w:val="-7"/>
          <w:w w:val="115"/>
        </w:rPr>
        <w:t> </w:t>
      </w:r>
      <w:r>
        <w:rPr>
          <w:w w:val="115"/>
        </w:rPr>
        <w:t>qualitatives</w:t>
      </w:r>
      <w:r>
        <w:rPr>
          <w:spacing w:val="-7"/>
          <w:w w:val="115"/>
        </w:rPr>
        <w:t> </w:t>
      </w:r>
      <w:r>
        <w:rPr>
          <w:w w:val="115"/>
        </w:rPr>
        <w:t>totalisant</w:t>
      </w:r>
      <w:r>
        <w:rPr>
          <w:spacing w:val="-7"/>
          <w:w w:val="115"/>
        </w:rPr>
        <w:t> </w:t>
      </w:r>
      <w:r>
        <w:rPr>
          <w:rFonts w:ascii="Calibri" w:hAnsi="Calibri"/>
          <w:i/>
          <w:w w:val="140"/>
        </w:rPr>
        <w:t>J</w:t>
      </w:r>
      <w:r>
        <w:rPr>
          <w:rFonts w:ascii="Calibri" w:hAnsi="Calibri"/>
          <w:i/>
          <w:spacing w:val="-2"/>
          <w:w w:val="140"/>
        </w:rPr>
        <w:t> </w:t>
      </w:r>
      <w:r>
        <w:rPr>
          <w:w w:val="115"/>
        </w:rPr>
        <w:t>modalités.</w:t>
      </w:r>
      <w:r>
        <w:rPr>
          <w:spacing w:val="-7"/>
          <w:w w:val="115"/>
        </w:rPr>
        <w:t> </w:t>
      </w:r>
      <w:r>
        <w:rPr>
          <w:w w:val="115"/>
        </w:rPr>
        <w:t>On </w:t>
      </w:r>
      <w:r>
        <w:rPr>
          <w:w w:val="110"/>
        </w:rPr>
        <w:t>construit</w:t>
      </w:r>
      <w:r>
        <w:rPr>
          <w:spacing w:val="-6"/>
          <w:w w:val="110"/>
        </w:rPr>
        <w:t> </w:t>
      </w:r>
      <w:r>
        <w:rPr>
          <w:w w:val="110"/>
        </w:rPr>
        <w:t>la matrice disjonctive complète </w:t>
      </w:r>
      <w:r>
        <w:rPr>
          <w:rFonts w:ascii="Calibri" w:hAnsi="Calibri"/>
          <w:i/>
          <w:w w:val="110"/>
        </w:rPr>
        <w:t>X</w:t>
      </w:r>
      <w:r>
        <w:rPr>
          <w:rFonts w:ascii="Calibri" w:hAnsi="Calibri"/>
          <w:i/>
          <w:spacing w:val="24"/>
          <w:w w:val="110"/>
        </w:rPr>
        <w:t> </w:t>
      </w:r>
      <w:r>
        <w:rPr>
          <w:w w:val="110"/>
        </w:rPr>
        <w:t>de dimension 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spacing w:val="-15"/>
          <w:w w:val="110"/>
        </w:rPr>
        <w:t> </w:t>
      </w:r>
      <w:r>
        <w:rPr>
          <w:rFonts w:ascii="Lucida Sans Unicode" w:hAnsi="Lucida Sans Unicode"/>
          <w:w w:val="110"/>
        </w:rPr>
        <w:t>×</w:t>
      </w:r>
      <w:r>
        <w:rPr>
          <w:rFonts w:ascii="Lucida Sans Unicode" w:hAnsi="Lucida Sans Unicode"/>
          <w:spacing w:val="-31"/>
          <w:w w:val="110"/>
        </w:rPr>
        <w:t> </w:t>
      </w:r>
      <w:r>
        <w:rPr>
          <w:rFonts w:ascii="Calibri" w:hAnsi="Calibri"/>
          <w:i/>
          <w:spacing w:val="11"/>
          <w:w w:val="110"/>
        </w:rPr>
        <w:t>J</w:t>
      </w:r>
      <w:r>
        <w:rPr>
          <w:spacing w:val="11"/>
          <w:w w:val="110"/>
        </w:rPr>
        <w:t>,</w:t>
      </w:r>
      <w:r>
        <w:rPr>
          <w:spacing w:val="1"/>
          <w:w w:val="110"/>
        </w:rPr>
        <w:t> </w:t>
      </w:r>
      <w:r>
        <w:rPr>
          <w:w w:val="110"/>
        </w:rPr>
        <w:t>définie par :</w:t>
      </w:r>
    </w:p>
    <w:p>
      <w:pPr>
        <w:pStyle w:val="BodyText"/>
        <w:spacing w:after="0" w:line="266" w:lineRule="auto"/>
        <w:jc w:val="both"/>
        <w:sectPr>
          <w:headerReference w:type="default" r:id="rId28"/>
          <w:pgSz w:w="11910" w:h="16840"/>
          <w:pgMar w:header="657" w:footer="0" w:top="1340" w:bottom="280" w:left="1275" w:right="566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162"/>
        <w:rPr>
          <w:sz w:val="16"/>
        </w:rPr>
      </w:pPr>
    </w:p>
    <w:p>
      <w:pPr>
        <w:spacing w:before="0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55"/>
          <w:position w:val="4"/>
          <w:sz w:val="24"/>
        </w:rPr>
        <w:t>x</w:t>
      </w:r>
      <w:r>
        <w:rPr>
          <w:rFonts w:ascii="Calibri"/>
          <w:i/>
          <w:spacing w:val="-5"/>
          <w:w w:val="155"/>
          <w:sz w:val="16"/>
        </w:rPr>
        <w:t>ij</w:t>
      </w:r>
    </w:p>
    <w:p>
      <w:pPr>
        <w:pStyle w:val="BodyText"/>
        <w:tabs>
          <w:tab w:pos="857" w:val="left" w:leader="none"/>
        </w:tabs>
        <w:spacing w:line="156" w:lineRule="auto" w:before="51"/>
        <w:ind w:left="45"/>
        <w:rPr>
          <w:rFonts w:ascii="Calibri" w:hAnsi="Calibri"/>
          <w:i/>
        </w:rPr>
      </w:pPr>
      <w:r>
        <w:rPr/>
        <w:br w:type="column"/>
      </w:r>
      <w:r>
        <w:rPr>
          <w:rFonts w:ascii="Calibri" w:hAnsi="Calibri"/>
          <w:w w:val="140"/>
          <w:position w:val="-18"/>
        </w:rPr>
        <w:t>=</w:t>
      </w:r>
      <w:r>
        <w:rPr>
          <w:rFonts w:ascii="Calibri" w:hAnsi="Calibri"/>
          <w:spacing w:val="4"/>
          <w:w w:val="140"/>
          <w:position w:val="-18"/>
        </w:rPr>
        <w:t> </w:t>
      </w:r>
      <w:r>
        <w:rPr>
          <w:rFonts w:ascii="Lucida Sans Unicode" w:hAnsi="Lucida Sans Unicode"/>
          <w:spacing w:val="-76"/>
          <w:w w:val="135"/>
          <w:position w:val="30"/>
        </w:rPr>
        <w:t>,</w:t>
      </w:r>
      <w:r>
        <w:rPr>
          <w:rFonts w:ascii="Lucida Sans Unicode" w:hAnsi="Lucida Sans Unicode"/>
          <w:spacing w:val="-76"/>
          <w:w w:val="135"/>
          <w:position w:val="9"/>
        </w:rPr>
        <w:t></w:t>
      </w:r>
      <w:r>
        <w:rPr>
          <w:rFonts w:ascii="Calibri" w:hAnsi="Calibri"/>
          <w:spacing w:val="-76"/>
          <w:w w:val="135"/>
        </w:rPr>
        <w:t>1</w:t>
      </w:r>
      <w:r>
        <w:rPr>
          <w:rFonts w:ascii="Calibri" w:hAnsi="Calibri"/>
        </w:rPr>
        <w:tab/>
      </w:r>
      <w:r>
        <w:rPr>
          <w:w w:val="105"/>
        </w:rPr>
        <w:t>si</w:t>
      </w:r>
      <w:r>
        <w:rPr>
          <w:spacing w:val="5"/>
          <w:w w:val="105"/>
        </w:rPr>
        <w:t> </w:t>
      </w:r>
      <w:r>
        <w:rPr>
          <w:w w:val="105"/>
        </w:rPr>
        <w:t>l’individu</w:t>
      </w:r>
      <w:r>
        <w:rPr>
          <w:spacing w:val="5"/>
          <w:w w:val="105"/>
        </w:rPr>
        <w:t> </w:t>
      </w:r>
      <w:r>
        <w:rPr>
          <w:rFonts w:ascii="Calibri" w:hAnsi="Calibri"/>
          <w:i/>
          <w:w w:val="105"/>
        </w:rPr>
        <w:t>i</w:t>
      </w:r>
      <w:r>
        <w:rPr>
          <w:rFonts w:ascii="Calibri" w:hAnsi="Calibri"/>
          <w:i/>
          <w:spacing w:val="12"/>
          <w:w w:val="105"/>
        </w:rPr>
        <w:t> </w:t>
      </w:r>
      <w:r>
        <w:rPr>
          <w:w w:val="105"/>
        </w:rPr>
        <w:t>possède</w:t>
      </w:r>
      <w:r>
        <w:rPr>
          <w:spacing w:val="6"/>
          <w:w w:val="105"/>
        </w:rPr>
        <w:t> </w:t>
      </w:r>
      <w:r>
        <w:rPr>
          <w:w w:val="105"/>
        </w:rPr>
        <w:t>la</w:t>
      </w:r>
      <w:r>
        <w:rPr>
          <w:spacing w:val="6"/>
          <w:w w:val="105"/>
        </w:rPr>
        <w:t> </w:t>
      </w:r>
      <w:r>
        <w:rPr>
          <w:w w:val="105"/>
        </w:rPr>
        <w:t>modalité</w:t>
      </w:r>
      <w:r>
        <w:rPr>
          <w:spacing w:val="6"/>
          <w:w w:val="105"/>
        </w:rPr>
        <w:t> </w:t>
      </w:r>
      <w:r>
        <w:rPr>
          <w:rFonts w:ascii="Calibri" w:hAnsi="Calibri"/>
          <w:i/>
          <w:spacing w:val="-10"/>
          <w:w w:val="105"/>
        </w:rPr>
        <w:t>j</w:t>
      </w:r>
    </w:p>
    <w:p>
      <w:pPr>
        <w:pStyle w:val="BodyText"/>
        <w:tabs>
          <w:tab w:pos="857" w:val="left" w:leader="none"/>
        </w:tabs>
        <w:spacing w:line="329" w:lineRule="exact"/>
        <w:ind w:left="294"/>
      </w:pPr>
      <w:r>
        <w:rPr>
          <w:rFonts w:ascii="Lucida Sans Unicode"/>
          <w:spacing w:val="-5"/>
          <w:w w:val="165"/>
          <w:position w:val="9"/>
        </w:rPr>
        <w:t>,</w:t>
      </w:r>
      <w:r>
        <w:rPr>
          <w:rFonts w:ascii="Calibri"/>
          <w:spacing w:val="-5"/>
          <w:w w:val="165"/>
        </w:rPr>
        <w:t>0</w:t>
      </w:r>
      <w:r>
        <w:rPr>
          <w:rFonts w:ascii="Calibri"/>
        </w:rPr>
        <w:tab/>
      </w:r>
      <w:r>
        <w:rPr>
          <w:spacing w:val="-4"/>
          <w:w w:val="120"/>
        </w:rPr>
        <w:t>sinon</w:t>
      </w:r>
    </w:p>
    <w:p>
      <w:pPr>
        <w:pStyle w:val="BodyText"/>
        <w:spacing w:after="0" w:line="329" w:lineRule="exact"/>
        <w:sectPr>
          <w:type w:val="continuous"/>
          <w:pgSz w:w="11910" w:h="16840"/>
          <w:pgMar w:header="657" w:footer="0" w:top="1620" w:bottom="280" w:left="1275" w:right="566"/>
          <w:cols w:num="2" w:equalWidth="0">
            <w:col w:w="2823" w:space="40"/>
            <w:col w:w="7206"/>
          </w:cols>
        </w:sectPr>
      </w:pPr>
    </w:p>
    <w:p>
      <w:pPr>
        <w:pStyle w:val="BodyText"/>
        <w:spacing w:before="262"/>
        <w:ind w:left="727"/>
      </w:pPr>
      <w:r>
        <w:rPr>
          <w:w w:val="110"/>
        </w:rPr>
        <w:t>À</w:t>
      </w:r>
      <w:r>
        <w:rPr>
          <w:spacing w:val="3"/>
          <w:w w:val="110"/>
        </w:rPr>
        <w:t> </w:t>
      </w:r>
      <w:r>
        <w:rPr>
          <w:w w:val="110"/>
        </w:rPr>
        <w:t>partir</w:t>
      </w:r>
      <w:r>
        <w:rPr>
          <w:spacing w:val="4"/>
          <w:w w:val="110"/>
        </w:rPr>
        <w:t> </w:t>
      </w:r>
      <w:r>
        <w:rPr>
          <w:w w:val="110"/>
        </w:rPr>
        <w:t>de</w:t>
      </w:r>
      <w:r>
        <w:rPr>
          <w:spacing w:val="3"/>
          <w:w w:val="110"/>
        </w:rPr>
        <w:t> </w:t>
      </w:r>
      <w:r>
        <w:rPr>
          <w:rFonts w:ascii="Calibri" w:hAnsi="Calibri"/>
          <w:i/>
          <w:spacing w:val="9"/>
          <w:w w:val="110"/>
        </w:rPr>
        <w:t>X</w:t>
      </w:r>
      <w:r>
        <w:rPr>
          <w:spacing w:val="9"/>
          <w:w w:val="110"/>
        </w:rPr>
        <w:t>,</w:t>
      </w:r>
      <w:r>
        <w:rPr>
          <w:spacing w:val="3"/>
          <w:w w:val="110"/>
        </w:rPr>
        <w:t> </w:t>
      </w:r>
      <w:r>
        <w:rPr>
          <w:w w:val="110"/>
        </w:rPr>
        <w:t>on</w:t>
      </w:r>
      <w:r>
        <w:rPr>
          <w:spacing w:val="4"/>
          <w:w w:val="110"/>
        </w:rPr>
        <w:t> </w:t>
      </w:r>
      <w:r>
        <w:rPr>
          <w:w w:val="110"/>
        </w:rPr>
        <w:t>peut</w:t>
      </w:r>
      <w:r>
        <w:rPr>
          <w:spacing w:val="3"/>
          <w:w w:val="110"/>
        </w:rPr>
        <w:t> </w:t>
      </w:r>
      <w:r>
        <w:rPr>
          <w:w w:val="110"/>
        </w:rPr>
        <w:t>construire</w:t>
      </w:r>
      <w:r>
        <w:rPr>
          <w:spacing w:val="3"/>
          <w:w w:val="110"/>
        </w:rPr>
        <w:t> </w:t>
      </w:r>
      <w:r>
        <w:rPr>
          <w:w w:val="110"/>
        </w:rPr>
        <w:t>la</w:t>
      </w:r>
      <w:r>
        <w:rPr>
          <w:spacing w:val="4"/>
          <w:w w:val="110"/>
        </w:rPr>
        <w:t> </w:t>
      </w:r>
      <w:r>
        <w:rPr>
          <w:w w:val="110"/>
        </w:rPr>
        <w:t>matrice</w:t>
      </w:r>
      <w:r>
        <w:rPr>
          <w:spacing w:val="4"/>
          <w:w w:val="110"/>
        </w:rPr>
        <w:t> </w:t>
      </w:r>
      <w:r>
        <w:rPr>
          <w:w w:val="110"/>
        </w:rPr>
        <w:t>de</w:t>
      </w:r>
      <w:r>
        <w:rPr>
          <w:spacing w:val="4"/>
          <w:w w:val="110"/>
        </w:rPr>
        <w:t> </w:t>
      </w:r>
      <w:r>
        <w:rPr>
          <w:w w:val="110"/>
        </w:rPr>
        <w:t>Burt</w:t>
      </w:r>
      <w:r>
        <w:rPr>
          <w:spacing w:val="3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BodyText"/>
        <w:spacing w:before="190"/>
      </w:pPr>
    </w:p>
    <w:p>
      <w:pPr>
        <w:spacing w:before="0"/>
        <w:ind w:left="0" w:right="140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w w:val="145"/>
          <w:sz w:val="24"/>
        </w:rPr>
        <w:t>B</w:t>
      </w:r>
      <w:r>
        <w:rPr>
          <w:rFonts w:ascii="Calibri"/>
          <w:i/>
          <w:spacing w:val="4"/>
          <w:w w:val="145"/>
          <w:sz w:val="24"/>
        </w:rPr>
        <w:t> </w:t>
      </w:r>
      <w:r>
        <w:rPr>
          <w:rFonts w:ascii="Calibri"/>
          <w:w w:val="145"/>
          <w:sz w:val="24"/>
        </w:rPr>
        <w:t>=</w:t>
      </w:r>
      <w:r>
        <w:rPr>
          <w:rFonts w:ascii="Calibri"/>
          <w:spacing w:val="-8"/>
          <w:w w:val="145"/>
          <w:sz w:val="24"/>
        </w:rPr>
        <w:t> </w:t>
      </w:r>
      <w:r>
        <w:rPr>
          <w:rFonts w:ascii="Calibri"/>
          <w:i/>
          <w:w w:val="145"/>
          <w:sz w:val="24"/>
        </w:rPr>
        <w:t>X</w:t>
      </w:r>
      <w:r>
        <w:rPr>
          <w:rFonts w:ascii="Calibri"/>
          <w:i/>
          <w:w w:val="145"/>
          <w:sz w:val="24"/>
          <w:vertAlign w:val="superscript"/>
        </w:rPr>
        <w:t>T</w:t>
      </w:r>
      <w:r>
        <w:rPr>
          <w:rFonts w:ascii="Calibri"/>
          <w:i/>
          <w:spacing w:val="-43"/>
          <w:w w:val="145"/>
          <w:sz w:val="24"/>
          <w:vertAlign w:val="baseline"/>
        </w:rPr>
        <w:t> </w:t>
      </w:r>
      <w:r>
        <w:rPr>
          <w:rFonts w:ascii="Calibri"/>
          <w:i/>
          <w:spacing w:val="-10"/>
          <w:w w:val="145"/>
          <w:sz w:val="24"/>
          <w:vertAlign w:val="baseline"/>
        </w:rPr>
        <w:t>X</w:t>
      </w:r>
    </w:p>
    <w:p>
      <w:pPr>
        <w:pStyle w:val="BodyText"/>
        <w:spacing w:line="307" w:lineRule="auto" w:before="272"/>
        <w:ind w:left="727"/>
      </w:pPr>
      <w:r>
        <w:rPr>
          <w:rFonts w:ascii="Georgia" w:hAnsi="Georgia"/>
          <w:b/>
          <w:w w:val="105"/>
        </w:rPr>
        <w:t>L’ACM </w:t>
      </w:r>
      <w:r>
        <w:rPr>
          <w:w w:val="105"/>
        </w:rPr>
        <w:t>repose sur la décomposition en valeurs singulières de la matrice centrée et normalisée, sous la métrique du </w:t>
      </w:r>
      <w:r>
        <w:rPr>
          <w:rFonts w:ascii="Calibri" w:hAnsi="Calibri"/>
          <w:i/>
          <w:w w:val="105"/>
        </w:rPr>
        <w:t>χ</w:t>
      </w:r>
      <w:r>
        <w:rPr>
          <w:rFonts w:ascii="Calibri" w:hAnsi="Calibri"/>
          <w:w w:val="105"/>
          <w:vertAlign w:val="superscript"/>
        </w:rPr>
        <w:t>2</w:t>
      </w:r>
      <w:r>
        <w:rPr>
          <w:w w:val="105"/>
          <w:vertAlign w:val="baseline"/>
        </w:rPr>
        <w:t>.</w:t>
      </w:r>
    </w:p>
    <w:p>
      <w:pPr>
        <w:pStyle w:val="BodyText"/>
        <w:spacing w:before="25"/>
        <w:ind w:left="727"/>
      </w:pPr>
      <w:r>
        <w:rPr>
          <w:w w:val="110"/>
        </w:rPr>
        <w:t>La</w:t>
      </w:r>
      <w:r>
        <w:rPr>
          <w:spacing w:val="-3"/>
          <w:w w:val="110"/>
        </w:rPr>
        <w:t> </w:t>
      </w:r>
      <w:r>
        <w:rPr>
          <w:w w:val="110"/>
        </w:rPr>
        <w:t>distance</w:t>
      </w:r>
      <w:r>
        <w:rPr>
          <w:spacing w:val="-2"/>
          <w:w w:val="110"/>
        </w:rPr>
        <w:t> </w:t>
      </w:r>
      <w:r>
        <w:rPr>
          <w:w w:val="110"/>
        </w:rPr>
        <w:t>entre</w:t>
      </w:r>
      <w:r>
        <w:rPr>
          <w:spacing w:val="-2"/>
          <w:w w:val="110"/>
        </w:rPr>
        <w:t> </w:t>
      </w:r>
      <w:r>
        <w:rPr>
          <w:w w:val="110"/>
        </w:rPr>
        <w:t>deux</w:t>
      </w:r>
      <w:r>
        <w:rPr>
          <w:spacing w:val="-3"/>
          <w:w w:val="110"/>
        </w:rPr>
        <w:t> </w:t>
      </w:r>
      <w:r>
        <w:rPr>
          <w:w w:val="110"/>
        </w:rPr>
        <w:t>individus</w:t>
      </w:r>
      <w:r>
        <w:rPr>
          <w:spacing w:val="-2"/>
          <w:w w:val="110"/>
        </w:rPr>
        <w:t> </w:t>
      </w:r>
      <w:r>
        <w:rPr>
          <w:rFonts w:ascii="Calibri" w:hAnsi="Calibri"/>
          <w:i/>
          <w:w w:val="120"/>
        </w:rPr>
        <w:t>i</w:t>
      </w:r>
      <w:r>
        <w:rPr>
          <w:rFonts w:ascii="Calibri" w:hAnsi="Calibri"/>
          <w:i/>
          <w:spacing w:val="-2"/>
          <w:w w:val="120"/>
        </w:rPr>
        <w:t> </w:t>
      </w:r>
      <w:r>
        <w:rPr>
          <w:w w:val="110"/>
        </w:rPr>
        <w:t>et</w:t>
      </w:r>
      <w:r>
        <w:rPr>
          <w:spacing w:val="-3"/>
          <w:w w:val="110"/>
        </w:rPr>
        <w:t> </w:t>
      </w:r>
      <w:r>
        <w:rPr>
          <w:rFonts w:ascii="Calibri" w:hAnsi="Calibri"/>
          <w:i/>
          <w:w w:val="120"/>
        </w:rPr>
        <w:t>i</w:t>
      </w:r>
      <w:r>
        <w:rPr>
          <w:rFonts w:ascii="Arial" w:hAnsi="Arial"/>
          <w:i/>
          <w:w w:val="120"/>
          <w:vertAlign w:val="superscript"/>
        </w:rPr>
        <w:t>′</w:t>
      </w:r>
      <w:r>
        <w:rPr>
          <w:rFonts w:ascii="Arial" w:hAnsi="Arial"/>
          <w:i/>
          <w:spacing w:val="-8"/>
          <w:w w:val="120"/>
          <w:vertAlign w:val="baseline"/>
        </w:rPr>
        <w:t> </w:t>
      </w:r>
      <w:r>
        <w:rPr>
          <w:w w:val="110"/>
          <w:vertAlign w:val="baseline"/>
        </w:rPr>
        <w:t>est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définie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par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la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distance</w:t>
      </w:r>
      <w:r>
        <w:rPr>
          <w:spacing w:val="-2"/>
          <w:w w:val="110"/>
          <w:vertAlign w:val="baseline"/>
        </w:rPr>
        <w:t> </w:t>
      </w:r>
      <w:r>
        <w:rPr>
          <w:w w:val="110"/>
          <w:vertAlign w:val="baseline"/>
        </w:rPr>
        <w:t>du</w:t>
      </w:r>
      <w:r>
        <w:rPr>
          <w:spacing w:val="-3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χ</w:t>
      </w:r>
      <w:r>
        <w:rPr>
          <w:rFonts w:ascii="Calibri" w:hAnsi="Calibri"/>
          <w:w w:val="110"/>
          <w:vertAlign w:val="superscript"/>
        </w:rPr>
        <w:t>2</w:t>
      </w:r>
      <w:r>
        <w:rPr>
          <w:rFonts w:ascii="Calibri" w:hAnsi="Calibri"/>
          <w:spacing w:val="12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:</w:t>
      </w:r>
    </w:p>
    <w:p>
      <w:pPr>
        <w:pStyle w:val="BodyText"/>
        <w:spacing w:before="5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657" w:footer="0" w:top="1620" w:bottom="280" w:left="1275" w:right="566"/>
        </w:sectPr>
      </w:pPr>
    </w:p>
    <w:p>
      <w:pPr>
        <w:pStyle w:val="BodyText"/>
        <w:spacing w:before="2"/>
      </w:pPr>
    </w:p>
    <w:p>
      <w:pPr>
        <w:spacing w:before="0"/>
        <w:ind w:left="0" w:right="0" w:firstLine="0"/>
        <w:jc w:val="right"/>
        <w:rPr>
          <w:rFonts w:ascii="Calibri" w:hAnsi="Calibri"/>
          <w:sz w:val="24"/>
        </w:rPr>
      </w:pPr>
      <w:r>
        <w:rPr>
          <w:rFonts w:ascii="Calibri" w:hAnsi="Calibri"/>
          <w:i/>
          <w:w w:val="120"/>
          <w:sz w:val="24"/>
        </w:rPr>
        <w:t>d</w:t>
      </w:r>
      <w:r>
        <w:rPr>
          <w:rFonts w:ascii="Calibri" w:hAnsi="Calibri"/>
          <w:w w:val="120"/>
          <w:sz w:val="24"/>
          <w:vertAlign w:val="superscript"/>
        </w:rPr>
        <w:t>2</w:t>
      </w:r>
      <w:r>
        <w:rPr>
          <w:rFonts w:ascii="Calibri" w:hAnsi="Calibri"/>
          <w:w w:val="120"/>
          <w:sz w:val="24"/>
          <w:vertAlign w:val="baseline"/>
        </w:rPr>
        <w:t>(</w:t>
      </w:r>
      <w:r>
        <w:rPr>
          <w:rFonts w:ascii="Calibri" w:hAnsi="Calibri"/>
          <w:i/>
          <w:w w:val="120"/>
          <w:sz w:val="24"/>
          <w:vertAlign w:val="baseline"/>
        </w:rPr>
        <w:t>i,</w:t>
      </w:r>
      <w:r>
        <w:rPr>
          <w:rFonts w:ascii="Calibri" w:hAnsi="Calibri"/>
          <w:i/>
          <w:spacing w:val="-22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i</w:t>
      </w:r>
      <w:r>
        <w:rPr>
          <w:rFonts w:ascii="Arial" w:hAnsi="Arial"/>
          <w:i/>
          <w:w w:val="120"/>
          <w:sz w:val="24"/>
          <w:vertAlign w:val="superscript"/>
        </w:rPr>
        <w:t>′</w:t>
      </w:r>
      <w:r>
        <w:rPr>
          <w:rFonts w:ascii="Calibri" w:hAnsi="Calibri"/>
          <w:w w:val="120"/>
          <w:sz w:val="24"/>
          <w:vertAlign w:val="baseline"/>
        </w:rPr>
        <w:t>)</w:t>
      </w:r>
      <w:r>
        <w:rPr>
          <w:rFonts w:ascii="Calibri" w:hAnsi="Calibri"/>
          <w:spacing w:val="9"/>
          <w:w w:val="120"/>
          <w:sz w:val="24"/>
          <w:vertAlign w:val="baseline"/>
        </w:rPr>
        <w:t> </w:t>
      </w:r>
      <w:r>
        <w:rPr>
          <w:rFonts w:ascii="Calibri" w:hAnsi="Calibri"/>
          <w:spacing w:val="-10"/>
          <w:w w:val="120"/>
          <w:sz w:val="24"/>
          <w:vertAlign w:val="baseline"/>
        </w:rPr>
        <w:t>=</w:t>
      </w:r>
    </w:p>
    <w:p>
      <w:pPr>
        <w:spacing w:before="116"/>
        <w:ind w:left="435" w:right="0" w:firstLine="0"/>
        <w:jc w:val="left"/>
        <w:rPr>
          <w:rFonts w:ascii="Calibri"/>
          <w:sz w:val="24"/>
        </w:rPr>
      </w:pPr>
      <w:r>
        <w:rPr/>
        <w:br w:type="column"/>
      </w:r>
      <w:r>
        <w:rPr>
          <w:rFonts w:ascii="Calibri"/>
          <w:spacing w:val="-10"/>
          <w:sz w:val="24"/>
          <w:u w:val="single"/>
        </w:rPr>
        <w:t>1</w:t>
      </w:r>
    </w:p>
    <w:p>
      <w:pPr>
        <w:spacing w:line="241" w:lineRule="exact" w:before="33"/>
        <w:ind w:left="435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3696233</wp:posOffset>
                </wp:positionH>
                <wp:positionV relativeFrom="paragraph">
                  <wp:posOffset>-203622</wp:posOffset>
                </wp:positionV>
                <wp:extent cx="59055" cy="1016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905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041992pt;margin-top:-16.033278pt;width:4.650pt;height:8pt;mso-position-horizontal-relative:page;mso-position-vertical-relative:paragraph;z-index:15743488" type="#_x0000_t202" id="docshape1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3620706</wp:posOffset>
                </wp:positionH>
                <wp:positionV relativeFrom="paragraph">
                  <wp:posOffset>-196025</wp:posOffset>
                </wp:positionV>
                <wp:extent cx="16510" cy="47244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65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33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5.095001pt;margin-top:-15.435102pt;width:1.3pt;height:37.2pt;mso-position-horizontal-relative:page;mso-position-vertical-relative:paragraph;z-index:15745024" type="#_x0000_t202" id="docshape18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33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3953789</wp:posOffset>
                </wp:positionH>
                <wp:positionV relativeFrom="paragraph">
                  <wp:posOffset>113089</wp:posOffset>
                </wp:positionV>
                <wp:extent cx="43815" cy="1016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1.321991pt;margin-top:8.904723pt;width:3.45pt;height:8pt;mso-position-horizontal-relative:page;mso-position-vertical-relative:paragraph;z-index:15745536" type="#_x0000_t202" id="docshape1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55"/>
          <w:sz w:val="24"/>
        </w:rPr>
        <w:t>f</w:t>
      </w:r>
    </w:p>
    <w:p>
      <w:pPr>
        <w:spacing w:line="143" w:lineRule="exact" w:before="0"/>
        <w:ind w:left="52" w:right="0" w:firstLine="0"/>
        <w:jc w:val="left"/>
        <w:rPr>
          <w:rFonts w:ascii="Calibri"/>
          <w:sz w:val="16"/>
        </w:rPr>
      </w:pPr>
      <w:r>
        <w:rPr>
          <w:rFonts w:ascii="Calibri"/>
          <w:i/>
          <w:spacing w:val="-5"/>
          <w:w w:val="150"/>
          <w:sz w:val="16"/>
        </w:rPr>
        <w:t>j</w:t>
      </w:r>
      <w:r>
        <w:rPr>
          <w:rFonts w:ascii="Calibri"/>
          <w:spacing w:val="-5"/>
          <w:w w:val="150"/>
          <w:sz w:val="16"/>
        </w:rPr>
        <w:t>=1</w:t>
      </w:r>
    </w:p>
    <w:p>
      <w:pPr>
        <w:spacing w:line="151" w:lineRule="auto" w:before="161"/>
        <w:ind w:left="242" w:right="0" w:firstLine="0"/>
        <w:jc w:val="left"/>
        <w:rPr>
          <w:rFonts w:ascii="Lucida Sans Unicode" w:hAnsi="Lucida Sans Unicode"/>
          <w:position w:val="-12"/>
          <w:sz w:val="24"/>
        </w:rPr>
      </w:pPr>
      <w:r>
        <w:rPr/>
        <w:br w:type="column"/>
      </w:r>
      <w:r>
        <w:rPr>
          <w:rFonts w:ascii="Calibri" w:hAnsi="Calibri"/>
          <w:i/>
          <w:w w:val="135"/>
          <w:position w:val="4"/>
          <w:sz w:val="24"/>
          <w:u w:val="single"/>
        </w:rPr>
        <w:t>x</w:t>
      </w:r>
      <w:r>
        <w:rPr>
          <w:rFonts w:ascii="Calibri" w:hAnsi="Calibri"/>
          <w:i/>
          <w:w w:val="135"/>
          <w:sz w:val="16"/>
        </w:rPr>
        <w:t>ij</w:t>
      </w:r>
      <w:r>
        <w:rPr>
          <w:rFonts w:ascii="Calibri" w:hAnsi="Calibri"/>
          <w:i/>
          <w:spacing w:val="62"/>
          <w:w w:val="135"/>
          <w:sz w:val="16"/>
        </w:rPr>
        <w:t> </w:t>
      </w:r>
      <w:r>
        <w:rPr>
          <w:rFonts w:ascii="Lucida Sans Unicode" w:hAnsi="Lucida Sans Unicode"/>
          <w:spacing w:val="-21"/>
          <w:w w:val="105"/>
          <w:position w:val="-12"/>
          <w:sz w:val="24"/>
        </w:rPr>
        <w:t>−</w:t>
      </w:r>
    </w:p>
    <w:p>
      <w:pPr>
        <w:spacing w:line="206" w:lineRule="exact" w:before="0"/>
        <w:ind w:left="287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4049928</wp:posOffset>
                </wp:positionH>
                <wp:positionV relativeFrom="paragraph">
                  <wp:posOffset>-341873</wp:posOffset>
                </wp:positionV>
                <wp:extent cx="111760" cy="47244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1176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891998pt;margin-top:-26.919146pt;width:8.8pt;height:37.2pt;mso-position-horizontal-relative:page;mso-position-vertical-relative:paragraph;z-index:15744000" type="#_x0000_t202" id="docshape20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35"/>
          <w:sz w:val="24"/>
        </w:rPr>
        <w:t>k</w:t>
      </w:r>
      <w:r>
        <w:rPr>
          <w:rFonts w:ascii="Calibri"/>
          <w:i/>
          <w:spacing w:val="-5"/>
          <w:w w:val="135"/>
          <w:sz w:val="24"/>
          <w:vertAlign w:val="subscript"/>
        </w:rPr>
        <w:t>i</w:t>
      </w:r>
    </w:p>
    <w:p>
      <w:pPr>
        <w:tabs>
          <w:tab w:pos="569" w:val="left" w:leader="none"/>
        </w:tabs>
        <w:spacing w:before="68"/>
        <w:ind w:left="37" w:right="0" w:firstLine="0"/>
        <w:jc w:val="left"/>
        <w:rPr>
          <w:rFonts w:ascii="Calibri" w:hAnsi="Calibri"/>
          <w:position w:val="16"/>
          <w:sz w:val="16"/>
        </w:rPr>
      </w:pPr>
      <w:r>
        <w:rPr/>
        <w:br w:type="column"/>
      </w:r>
      <w:r>
        <w:rPr>
          <w:rFonts w:ascii="Calibri" w:hAnsi="Calibri"/>
          <w:i/>
          <w:spacing w:val="-4"/>
          <w:w w:val="140"/>
          <w:position w:val="4"/>
          <w:sz w:val="24"/>
          <w:u w:val="single"/>
        </w:rPr>
        <w:t>x</w:t>
      </w:r>
      <w:r>
        <w:rPr>
          <w:rFonts w:ascii="Calibri" w:hAnsi="Calibri"/>
          <w:i/>
          <w:spacing w:val="-4"/>
          <w:w w:val="140"/>
          <w:sz w:val="16"/>
        </w:rPr>
        <w:t>i</w:t>
      </w:r>
      <w:r>
        <w:rPr>
          <w:i/>
          <w:spacing w:val="-4"/>
          <w:w w:val="140"/>
          <w:position w:val="5"/>
          <w:sz w:val="12"/>
          <w:u w:val="single"/>
        </w:rPr>
        <w:t>′</w:t>
      </w:r>
      <w:r>
        <w:rPr>
          <w:rFonts w:ascii="Calibri" w:hAnsi="Calibri"/>
          <w:i/>
          <w:spacing w:val="-4"/>
          <w:w w:val="140"/>
          <w:sz w:val="16"/>
        </w:rPr>
        <w:t>j</w:t>
      </w:r>
      <w:r>
        <w:rPr>
          <w:rFonts w:ascii="Calibri" w:hAnsi="Calibri"/>
          <w:i/>
          <w:sz w:val="16"/>
        </w:rPr>
        <w:tab/>
      </w:r>
      <w:r>
        <w:rPr>
          <w:rFonts w:ascii="Calibri" w:hAnsi="Calibri"/>
          <w:spacing w:val="-10"/>
          <w:w w:val="130"/>
          <w:position w:val="16"/>
          <w:sz w:val="16"/>
        </w:rPr>
        <w:t>2</w:t>
      </w:r>
    </w:p>
    <w:p>
      <w:pPr>
        <w:spacing w:before="19"/>
        <w:ind w:left="81" w:right="0" w:firstLine="0"/>
        <w:jc w:val="left"/>
        <w:rPr>
          <w:i/>
          <w:position w:val="1"/>
          <w:sz w:val="12"/>
        </w:rPr>
      </w:pPr>
      <w:r>
        <w:rPr>
          <w:i/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75520">
                <wp:simplePos x="0" y="0"/>
                <wp:positionH relativeFrom="page">
                  <wp:posOffset>4795583</wp:posOffset>
                </wp:positionH>
                <wp:positionV relativeFrom="paragraph">
                  <wp:posOffset>-274984</wp:posOffset>
                </wp:positionV>
                <wp:extent cx="111760" cy="47244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1176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7.605011pt;margin-top:-21.65229pt;width:8.8pt;height:37.2pt;mso-position-horizontal-relative:page;mso-position-vertical-relative:paragraph;z-index:-16040960" type="#_x0000_t202" id="docshape2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5"/>
          <w:w w:val="145"/>
          <w:sz w:val="24"/>
        </w:rPr>
        <w:t>k</w:t>
      </w:r>
      <w:r>
        <w:rPr>
          <w:rFonts w:ascii="Calibri" w:hAnsi="Calibri"/>
          <w:i/>
          <w:spacing w:val="-5"/>
          <w:w w:val="145"/>
          <w:sz w:val="24"/>
          <w:vertAlign w:val="subscript"/>
        </w:rPr>
        <w:t>i</w:t>
      </w:r>
      <w:r>
        <w:rPr>
          <w:i/>
          <w:spacing w:val="-5"/>
          <w:w w:val="145"/>
          <w:position w:val="1"/>
          <w:sz w:val="12"/>
          <w:vertAlign w:val="baseline"/>
        </w:rPr>
        <w:t>′</w:t>
      </w:r>
    </w:p>
    <w:p>
      <w:pPr>
        <w:spacing w:after="0"/>
        <w:jc w:val="left"/>
        <w:rPr>
          <w:i/>
          <w:position w:val="1"/>
          <w:sz w:val="12"/>
        </w:rPr>
        <w:sectPr>
          <w:type w:val="continuous"/>
          <w:pgSz w:w="11910" w:h="16840"/>
          <w:pgMar w:header="657" w:footer="0" w:top="1620" w:bottom="280" w:left="1275" w:right="566"/>
          <w:cols w:num="4" w:equalWidth="0">
            <w:col w:w="4361" w:space="40"/>
            <w:col w:w="620" w:space="39"/>
            <w:col w:w="785" w:space="39"/>
            <w:col w:w="4185"/>
          </w:cols>
        </w:sectPr>
      </w:pPr>
    </w:p>
    <w:p>
      <w:pPr>
        <w:pStyle w:val="BodyText"/>
        <w:spacing w:line="331" w:lineRule="auto" w:before="171"/>
        <w:ind w:left="727" w:right="3737"/>
      </w:pPr>
      <w:r>
        <w:rPr>
          <w:w w:val="110"/>
        </w:rPr>
        <w:t>où</w:t>
      </w:r>
      <w:r>
        <w:rPr>
          <w:spacing w:val="-13"/>
          <w:w w:val="110"/>
        </w:rPr>
        <w:t> </w:t>
      </w:r>
      <w:r>
        <w:rPr>
          <w:rFonts w:ascii="Calibri" w:hAnsi="Calibri"/>
          <w:i/>
          <w:w w:val="140"/>
        </w:rPr>
        <w:t>f</w:t>
      </w:r>
      <w:r>
        <w:rPr>
          <w:rFonts w:ascii="Calibri" w:hAnsi="Calibri"/>
          <w:i/>
          <w:w w:val="140"/>
          <w:vertAlign w:val="subscript"/>
        </w:rPr>
        <w:t>j</w:t>
      </w:r>
      <w:r>
        <w:rPr>
          <w:rFonts w:ascii="Calibri" w:hAnsi="Calibri"/>
          <w:i/>
          <w:spacing w:val="-10"/>
          <w:w w:val="140"/>
          <w:vertAlign w:val="baseline"/>
        </w:rPr>
        <w:t> </w:t>
      </w:r>
      <w:r>
        <w:rPr>
          <w:w w:val="110"/>
          <w:vertAlign w:val="baseline"/>
        </w:rPr>
        <w:t>représente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la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fréquence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la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modalité</w:t>
      </w:r>
      <w:r>
        <w:rPr>
          <w:spacing w:val="-13"/>
          <w:w w:val="110"/>
          <w:vertAlign w:val="baseline"/>
        </w:rPr>
        <w:t> </w:t>
      </w:r>
      <w:r>
        <w:rPr>
          <w:rFonts w:ascii="Calibri" w:hAnsi="Calibri"/>
          <w:i/>
          <w:w w:val="140"/>
          <w:vertAlign w:val="baseline"/>
        </w:rPr>
        <w:t>j</w:t>
      </w:r>
      <w:r>
        <w:rPr>
          <w:w w:val="140"/>
          <w:vertAlign w:val="baseline"/>
        </w:rPr>
        <w:t>. </w:t>
      </w:r>
      <w:r>
        <w:rPr>
          <w:w w:val="110"/>
          <w:vertAlign w:val="baseline"/>
        </w:rPr>
        <w:t>L’inertie totale est donnée par :</w:t>
      </w:r>
    </w:p>
    <w:p>
      <w:pPr>
        <w:pStyle w:val="BodyText"/>
        <w:spacing w:before="78"/>
        <w:rPr>
          <w:sz w:val="16"/>
        </w:rPr>
      </w:pPr>
    </w:p>
    <w:p>
      <w:pPr>
        <w:spacing w:line="134" w:lineRule="auto" w:before="0"/>
        <w:ind w:left="303" w:right="0" w:firstLine="0"/>
        <w:jc w:val="center"/>
        <w:rPr>
          <w:rFonts w:ascii="Calibri" w:hAnsi="Calibri"/>
          <w:sz w:val="16"/>
        </w:rPr>
      </w:pPr>
      <w:r>
        <w:rPr>
          <w:rFonts w:ascii="Calibri" w:hAnsi="Calibri"/>
          <w:i/>
          <w:spacing w:val="-5"/>
          <w:w w:val="125"/>
          <w:position w:val="-8"/>
          <w:sz w:val="24"/>
        </w:rPr>
        <w:t>χ</w:t>
      </w:r>
      <w:r>
        <w:rPr>
          <w:rFonts w:ascii="Calibri" w:hAnsi="Calibri"/>
          <w:spacing w:val="-5"/>
          <w:w w:val="125"/>
          <w:sz w:val="16"/>
        </w:rPr>
        <w:t>2</w:t>
      </w:r>
    </w:p>
    <w:p>
      <w:pPr>
        <w:spacing w:line="162" w:lineRule="exact" w:before="0"/>
        <w:ind w:left="0" w:right="477" w:firstLine="0"/>
        <w:jc w:val="center"/>
        <w:rPr>
          <w:rFonts w:ascii="Calibri"/>
          <w:sz w:val="24"/>
        </w:rPr>
      </w:pP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4027957</wp:posOffset>
                </wp:positionH>
                <wp:positionV relativeFrom="paragraph">
                  <wp:posOffset>64923</wp:posOffset>
                </wp:positionV>
                <wp:extent cx="15367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536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70" h="0">
                              <a:moveTo>
                                <a:pt x="0" y="0"/>
                              </a:moveTo>
                              <a:lnTo>
                                <a:pt x="15323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2976" from="317.161987pt,5.112101pt" to="329.227987pt,5.112101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60"/>
          <w:sz w:val="24"/>
        </w:rPr>
        <w:t>I</w:t>
      </w:r>
      <w:r>
        <w:rPr>
          <w:rFonts w:ascii="Calibri"/>
          <w:i/>
          <w:spacing w:val="3"/>
          <w:w w:val="160"/>
          <w:sz w:val="24"/>
        </w:rPr>
        <w:t> </w:t>
      </w:r>
      <w:r>
        <w:rPr>
          <w:rFonts w:ascii="Calibri"/>
          <w:spacing w:val="-12"/>
          <w:w w:val="160"/>
          <w:sz w:val="24"/>
        </w:rPr>
        <w:t>=</w:t>
      </w:r>
    </w:p>
    <w:p>
      <w:pPr>
        <w:spacing w:line="228" w:lineRule="exact" w:before="0"/>
        <w:ind w:left="313" w:right="0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15"/>
          <w:sz w:val="24"/>
        </w:rPr>
        <w:t>n</w:t>
      </w:r>
    </w:p>
    <w:p>
      <w:pPr>
        <w:spacing w:after="0" w:line="228" w:lineRule="exact"/>
        <w:jc w:val="center"/>
        <w:rPr>
          <w:rFonts w:ascii="Calibri"/>
          <w:i/>
          <w:sz w:val="24"/>
        </w:rPr>
        <w:sectPr>
          <w:type w:val="continuous"/>
          <w:pgSz w:w="11910" w:h="16840"/>
          <w:pgMar w:header="657" w:footer="0" w:top="1620" w:bottom="280" w:left="1275" w:right="566"/>
        </w:sectPr>
      </w:pPr>
    </w:p>
    <w:p>
      <w:pPr>
        <w:pStyle w:val="BodyText"/>
        <w:spacing w:line="297" w:lineRule="auto" w:before="86"/>
        <w:ind w:left="727" w:right="848"/>
        <w:jc w:val="both"/>
      </w:pPr>
      <w:r>
        <w:rPr>
          <w:w w:val="105"/>
        </w:rPr>
        <w:t>La diagonalisation permet d’obtenir des valeurs propres </w:t>
      </w:r>
      <w:r>
        <w:rPr>
          <w:rFonts w:ascii="Calibri" w:hAnsi="Calibri"/>
          <w:i/>
          <w:w w:val="105"/>
        </w:rPr>
        <w:t>λ</w:t>
      </w:r>
      <w:r>
        <w:rPr>
          <w:rFonts w:ascii="Calibri" w:hAnsi="Calibri"/>
          <w:i/>
          <w:w w:val="105"/>
          <w:vertAlign w:val="subscript"/>
        </w:rPr>
        <w:t>s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mesurant l’inertie expli- </w:t>
      </w:r>
      <w:bookmarkStart w:name="Construction des variables qualitatives" w:id="17"/>
      <w:bookmarkEnd w:id="17"/>
      <w:r>
        <w:rPr>
          <w:w w:val="105"/>
          <w:vertAlign w:val="baseline"/>
        </w:rPr>
        <w:t>quée</w:t>
      </w:r>
      <w:r>
        <w:rPr>
          <w:w w:val="105"/>
          <w:vertAlign w:val="baseline"/>
        </w:rPr>
        <w:t> par chaque dimension.</w:t>
      </w:r>
    </w:p>
    <w:p>
      <w:pPr>
        <w:pStyle w:val="BodyText"/>
        <w:spacing w:before="170"/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0" w:after="0"/>
        <w:ind w:left="1446" w:right="0" w:hanging="719"/>
        <w:jc w:val="left"/>
      </w:pPr>
      <w:r>
        <w:rPr>
          <w:color w:val="000066"/>
          <w:spacing w:val="-8"/>
        </w:rPr>
        <w:t>Construction</w:t>
      </w:r>
      <w:r>
        <w:rPr>
          <w:color w:val="000066"/>
        </w:rPr>
        <w:t> </w:t>
      </w:r>
      <w:r>
        <w:rPr>
          <w:color w:val="000066"/>
          <w:spacing w:val="-8"/>
        </w:rPr>
        <w:t>des</w:t>
      </w:r>
      <w:r>
        <w:rPr>
          <w:color w:val="000066"/>
          <w:spacing w:val="1"/>
        </w:rPr>
        <w:t> </w:t>
      </w:r>
      <w:r>
        <w:rPr>
          <w:color w:val="000066"/>
          <w:spacing w:val="-8"/>
        </w:rPr>
        <w:t>variables</w:t>
      </w:r>
      <w:r>
        <w:rPr>
          <w:color w:val="000066"/>
          <w:spacing w:val="1"/>
        </w:rPr>
        <w:t> </w:t>
      </w:r>
      <w:r>
        <w:rPr>
          <w:color w:val="000066"/>
          <w:spacing w:val="-8"/>
        </w:rPr>
        <w:t>qualitatives</w:t>
      </w:r>
    </w:p>
    <w:p>
      <w:pPr>
        <w:pStyle w:val="BodyText"/>
        <w:spacing w:line="312" w:lineRule="auto" w:before="269"/>
        <w:ind w:left="727" w:right="848"/>
        <w:jc w:val="both"/>
      </w:pPr>
      <w:r>
        <w:rPr>
          <w:w w:val="105"/>
        </w:rPr>
        <w:t>Les variables utilisées dans </w:t>
      </w:r>
      <w:r>
        <w:rPr>
          <w:rFonts w:ascii="Georgia" w:hAnsi="Georgia"/>
          <w:b/>
          <w:w w:val="105"/>
        </w:rPr>
        <w:t>l’ACM </w:t>
      </w:r>
      <w:r>
        <w:rPr>
          <w:w w:val="105"/>
        </w:rPr>
        <w:t>proviennent de la discrétisation des indicateurs macroéconomiques</w:t>
      </w:r>
      <w:r>
        <w:rPr>
          <w:spacing w:val="-14"/>
          <w:w w:val="105"/>
        </w:rPr>
        <w:t> </w:t>
      </w:r>
      <w:r>
        <w:rPr>
          <w:w w:val="105"/>
        </w:rPr>
        <w:t>et</w:t>
      </w:r>
      <w:r>
        <w:rPr>
          <w:spacing w:val="-14"/>
          <w:w w:val="105"/>
        </w:rPr>
        <w:t> </w:t>
      </w:r>
      <w:r>
        <w:rPr>
          <w:w w:val="105"/>
        </w:rPr>
        <w:t>démographiques.</w:t>
      </w:r>
      <w:r>
        <w:rPr>
          <w:spacing w:val="-14"/>
          <w:w w:val="105"/>
        </w:rPr>
        <w:t> </w:t>
      </w:r>
      <w:r>
        <w:rPr>
          <w:w w:val="105"/>
        </w:rPr>
        <w:t>La</w:t>
      </w:r>
      <w:r>
        <w:rPr>
          <w:spacing w:val="-14"/>
          <w:w w:val="105"/>
        </w:rPr>
        <w:t> </w:t>
      </w:r>
      <w:r>
        <w:rPr>
          <w:w w:val="105"/>
        </w:rPr>
        <w:t>catégorisation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été</w:t>
      </w:r>
      <w:r>
        <w:rPr>
          <w:spacing w:val="-14"/>
          <w:w w:val="105"/>
        </w:rPr>
        <w:t> </w:t>
      </w:r>
      <w:r>
        <w:rPr>
          <w:w w:val="105"/>
        </w:rPr>
        <w:t>réalisée</w:t>
      </w:r>
      <w:r>
        <w:rPr>
          <w:spacing w:val="-14"/>
          <w:w w:val="105"/>
        </w:rPr>
        <w:t> </w:t>
      </w:r>
      <w:r>
        <w:rPr>
          <w:w w:val="105"/>
        </w:rPr>
        <w:t>soit</w:t>
      </w:r>
      <w:r>
        <w:rPr>
          <w:spacing w:val="-14"/>
          <w:w w:val="105"/>
        </w:rPr>
        <w:t> </w:t>
      </w:r>
      <w:r>
        <w:rPr>
          <w:w w:val="105"/>
        </w:rPr>
        <w:t>selon</w:t>
      </w:r>
      <w:r>
        <w:rPr>
          <w:spacing w:val="-14"/>
          <w:w w:val="105"/>
        </w:rPr>
        <w:t> </w:t>
      </w:r>
      <w:r>
        <w:rPr>
          <w:w w:val="105"/>
        </w:rPr>
        <w:t>des seuils fixes (catégories structurelles), soit selon une classification en terciles (faible</w:t>
      </w:r>
    </w:p>
    <w:p>
      <w:pPr>
        <w:pStyle w:val="BodyText"/>
        <w:spacing w:line="275" w:lineRule="exact"/>
        <w:ind w:left="727"/>
        <w:jc w:val="both"/>
      </w:pPr>
      <w:r>
        <w:rPr>
          <w:spacing w:val="-2"/>
          <w:w w:val="110"/>
        </w:rPr>
        <w:t>/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moyen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/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élevé).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Les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variables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qualitatives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retenues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sont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les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suivantes</w:t>
      </w:r>
      <w:r>
        <w:rPr>
          <w:spacing w:val="-12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ListParagraph"/>
        <w:numPr>
          <w:ilvl w:val="0"/>
          <w:numId w:val="11"/>
        </w:numPr>
        <w:tabs>
          <w:tab w:pos="1242" w:val="left" w:leader="none"/>
        </w:tabs>
        <w:spacing w:line="240" w:lineRule="auto" w:before="165" w:after="0"/>
        <w:ind w:left="1242" w:right="0" w:hanging="351"/>
        <w:jc w:val="left"/>
        <w:rPr>
          <w:sz w:val="24"/>
        </w:rPr>
      </w:pPr>
      <w:r>
        <w:rPr>
          <w:rFonts w:ascii="Georgia" w:hAnsi="Georgia"/>
          <w:b/>
          <w:w w:val="110"/>
          <w:sz w:val="24"/>
        </w:rPr>
        <w:t>PIB_cat</w:t>
      </w:r>
      <w:r>
        <w:rPr>
          <w:rFonts w:ascii="Georgia" w:hAnsi="Georgia"/>
          <w:b/>
          <w:spacing w:val="-6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faible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moyen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élevé</w:t>
      </w:r>
    </w:p>
    <w:p>
      <w:pPr>
        <w:pStyle w:val="ListParagraph"/>
        <w:numPr>
          <w:ilvl w:val="0"/>
          <w:numId w:val="11"/>
        </w:numPr>
        <w:tabs>
          <w:tab w:pos="1242" w:val="left" w:leader="none"/>
        </w:tabs>
        <w:spacing w:line="240" w:lineRule="auto" w:before="123" w:after="0"/>
        <w:ind w:left="1242" w:right="0" w:hanging="351"/>
        <w:jc w:val="left"/>
        <w:rPr>
          <w:sz w:val="24"/>
        </w:rPr>
      </w:pPr>
      <w:r>
        <w:rPr>
          <w:rFonts w:ascii="Georgia" w:hAnsi="Georgia"/>
          <w:b/>
          <w:w w:val="110"/>
          <w:sz w:val="24"/>
        </w:rPr>
        <w:t>INF_cat</w:t>
      </w:r>
      <w:r>
        <w:rPr>
          <w:rFonts w:ascii="Georgia" w:hAnsi="Georgia"/>
          <w:b/>
          <w:spacing w:val="-8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basse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moyenne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haute</w:t>
      </w:r>
    </w:p>
    <w:p>
      <w:pPr>
        <w:pStyle w:val="ListParagraph"/>
        <w:numPr>
          <w:ilvl w:val="0"/>
          <w:numId w:val="11"/>
        </w:numPr>
        <w:tabs>
          <w:tab w:pos="1242" w:val="left" w:leader="none"/>
        </w:tabs>
        <w:spacing w:line="240" w:lineRule="auto" w:before="123" w:after="0"/>
        <w:ind w:left="1242" w:right="0" w:hanging="351"/>
        <w:jc w:val="left"/>
        <w:rPr>
          <w:sz w:val="24"/>
        </w:rPr>
      </w:pPr>
      <w:r>
        <w:rPr>
          <w:rFonts w:ascii="Georgia" w:hAnsi="Georgia"/>
          <w:b/>
          <w:w w:val="110"/>
          <w:sz w:val="24"/>
        </w:rPr>
        <w:t>MASI_cat</w:t>
      </w:r>
      <w:r>
        <w:rPr>
          <w:rFonts w:ascii="Georgia" w:hAnsi="Georgia"/>
          <w:b/>
          <w:spacing w:val="-10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faible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moyen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élevé</w:t>
      </w:r>
    </w:p>
    <w:p>
      <w:pPr>
        <w:pStyle w:val="ListParagraph"/>
        <w:numPr>
          <w:ilvl w:val="0"/>
          <w:numId w:val="11"/>
        </w:numPr>
        <w:tabs>
          <w:tab w:pos="1242" w:val="left" w:leader="none"/>
        </w:tabs>
        <w:spacing w:line="240" w:lineRule="auto" w:before="123" w:after="0"/>
        <w:ind w:left="1242" w:right="0" w:hanging="351"/>
        <w:jc w:val="left"/>
        <w:rPr>
          <w:sz w:val="24"/>
        </w:rPr>
      </w:pPr>
      <w:r>
        <w:rPr>
          <w:rFonts w:ascii="Georgia" w:hAnsi="Georgia"/>
          <w:b/>
          <w:w w:val="110"/>
          <w:sz w:val="24"/>
        </w:rPr>
        <w:t>CH_cat</w:t>
      </w:r>
      <w:r>
        <w:rPr>
          <w:rFonts w:ascii="Georgia" w:hAnsi="Georgia"/>
          <w:b/>
          <w:spacing w:val="-5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faible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moyen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/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élevé</w:t>
      </w:r>
    </w:p>
    <w:p>
      <w:pPr>
        <w:pStyle w:val="ListParagraph"/>
        <w:numPr>
          <w:ilvl w:val="0"/>
          <w:numId w:val="11"/>
        </w:numPr>
        <w:tabs>
          <w:tab w:pos="1242" w:val="left" w:leader="none"/>
        </w:tabs>
        <w:spacing w:line="240" w:lineRule="auto" w:before="123" w:after="0"/>
        <w:ind w:left="1242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Pop_Rurale_CT</w:t>
      </w:r>
      <w:r>
        <w:rPr>
          <w:rFonts w:ascii="Georgia" w:hAnsi="Georgia"/>
          <w:b/>
          <w:spacing w:val="42"/>
          <w:sz w:val="24"/>
        </w:rPr>
        <w:t> </w:t>
      </w:r>
      <w:r>
        <w:rPr>
          <w:sz w:val="24"/>
        </w:rPr>
        <w:t>:</w:t>
      </w:r>
      <w:r>
        <w:rPr>
          <w:spacing w:val="43"/>
          <w:sz w:val="24"/>
        </w:rPr>
        <w:t> </w:t>
      </w:r>
      <w:r>
        <w:rPr>
          <w:sz w:val="24"/>
        </w:rPr>
        <w:t>faible</w:t>
      </w:r>
      <w:r>
        <w:rPr>
          <w:spacing w:val="42"/>
          <w:sz w:val="24"/>
        </w:rPr>
        <w:t> </w:t>
      </w:r>
      <w:r>
        <w:rPr>
          <w:sz w:val="24"/>
        </w:rPr>
        <w:t>/</w:t>
      </w:r>
      <w:r>
        <w:rPr>
          <w:spacing w:val="44"/>
          <w:sz w:val="24"/>
        </w:rPr>
        <w:t> </w:t>
      </w:r>
      <w:r>
        <w:rPr>
          <w:sz w:val="24"/>
        </w:rPr>
        <w:t>moyenne</w:t>
      </w:r>
      <w:r>
        <w:rPr>
          <w:spacing w:val="43"/>
          <w:sz w:val="24"/>
        </w:rPr>
        <w:t> </w:t>
      </w:r>
      <w:r>
        <w:rPr>
          <w:sz w:val="24"/>
        </w:rPr>
        <w:t>/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forte</w:t>
      </w:r>
    </w:p>
    <w:p>
      <w:pPr>
        <w:pStyle w:val="ListParagraph"/>
        <w:numPr>
          <w:ilvl w:val="0"/>
          <w:numId w:val="11"/>
        </w:numPr>
        <w:tabs>
          <w:tab w:pos="1242" w:val="left" w:leader="none"/>
        </w:tabs>
        <w:spacing w:line="240" w:lineRule="auto" w:before="123" w:after="0"/>
        <w:ind w:left="1242" w:right="0" w:hanging="351"/>
        <w:jc w:val="left"/>
        <w:rPr>
          <w:sz w:val="24"/>
        </w:rPr>
      </w:pPr>
      <w:r>
        <w:rPr>
          <w:rFonts w:ascii="Georgia" w:hAnsi="Georgia"/>
          <w:b/>
          <w:sz w:val="24"/>
        </w:rPr>
        <w:t>Pop_Urbaine_CT</w:t>
      </w:r>
      <w:r>
        <w:rPr>
          <w:rFonts w:ascii="Georgia" w:hAnsi="Georgia"/>
          <w:b/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faible</w:t>
      </w:r>
      <w:r>
        <w:rPr>
          <w:spacing w:val="40"/>
          <w:sz w:val="24"/>
        </w:rPr>
        <w:t> </w:t>
      </w:r>
      <w:r>
        <w:rPr>
          <w:sz w:val="24"/>
        </w:rPr>
        <w:t>/</w:t>
      </w:r>
      <w:r>
        <w:rPr>
          <w:spacing w:val="41"/>
          <w:sz w:val="24"/>
        </w:rPr>
        <w:t> </w:t>
      </w:r>
      <w:r>
        <w:rPr>
          <w:sz w:val="24"/>
        </w:rPr>
        <w:t>moyenne</w:t>
      </w:r>
      <w:r>
        <w:rPr>
          <w:spacing w:val="40"/>
          <w:sz w:val="24"/>
        </w:rPr>
        <w:t> </w:t>
      </w:r>
      <w:r>
        <w:rPr>
          <w:sz w:val="24"/>
        </w:rPr>
        <w:t>/</w:t>
      </w:r>
      <w:r>
        <w:rPr>
          <w:spacing w:val="41"/>
          <w:sz w:val="24"/>
        </w:rPr>
        <w:t> </w:t>
      </w:r>
      <w:r>
        <w:rPr>
          <w:spacing w:val="-4"/>
          <w:sz w:val="24"/>
        </w:rPr>
        <w:t>forte</w:t>
      </w:r>
    </w:p>
    <w:p>
      <w:pPr>
        <w:pStyle w:val="BodyText"/>
        <w:spacing w:line="312" w:lineRule="auto" w:before="164"/>
        <w:ind w:left="727" w:right="848"/>
        <w:jc w:val="both"/>
      </w:pPr>
      <w:r>
        <w:rPr>
          <w:w w:val="105"/>
        </w:rPr>
        <w:t>La transformation en variables qualitatives permet d’analyser les associations entre modalités</w:t>
      </w:r>
      <w:r>
        <w:rPr>
          <w:w w:val="105"/>
        </w:rPr>
        <w:t> et</w:t>
      </w:r>
      <w:r>
        <w:rPr>
          <w:w w:val="105"/>
        </w:rPr>
        <w:t> d’identifier</w:t>
      </w:r>
      <w:r>
        <w:rPr>
          <w:w w:val="105"/>
        </w:rPr>
        <w:t> des</w:t>
      </w:r>
      <w:r>
        <w:rPr>
          <w:w w:val="105"/>
        </w:rPr>
        <w:t> configurations</w:t>
      </w:r>
      <w:r>
        <w:rPr>
          <w:w w:val="105"/>
        </w:rPr>
        <w:t> macroéconomiques</w:t>
      </w:r>
      <w:r>
        <w:rPr>
          <w:w w:val="105"/>
        </w:rPr>
        <w:t> et</w:t>
      </w:r>
      <w:r>
        <w:rPr>
          <w:w w:val="105"/>
        </w:rPr>
        <w:t> structurelles</w:t>
      </w:r>
      <w:r>
        <w:rPr>
          <w:w w:val="105"/>
        </w:rPr>
        <w:t> ca- ractéristiques de certaines périodes.</w:t>
      </w:r>
    </w:p>
    <w:p>
      <w:pPr>
        <w:pStyle w:val="BodyText"/>
        <w:spacing w:line="312" w:lineRule="auto"/>
        <w:ind w:left="727" w:right="849"/>
        <w:jc w:val="both"/>
      </w:pPr>
      <w:r>
        <w:rPr>
          <w:rFonts w:ascii="Georgia" w:hAnsi="Georgia"/>
          <w:b/>
          <w:w w:val="105"/>
        </w:rPr>
        <w:t>L’ACM </w:t>
      </w:r>
      <w:r>
        <w:rPr>
          <w:w w:val="105"/>
        </w:rPr>
        <w:t>est alors appliquée à la matrice disjonctive complète construite à partir de </w:t>
      </w:r>
      <w:bookmarkStart w:name="Méthodologie d’implémentation" w:id="18"/>
      <w:bookmarkEnd w:id="18"/>
      <w:r>
        <w:rPr>
          <w:w w:val="105"/>
        </w:rPr>
        <w:t>ces</w:t>
      </w:r>
      <w:r>
        <w:rPr>
          <w:w w:val="105"/>
        </w:rPr>
        <w:t> variables.</w:t>
      </w:r>
    </w:p>
    <w:p>
      <w:pPr>
        <w:pStyle w:val="BodyText"/>
        <w:spacing w:before="151"/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1" w:after="0"/>
        <w:ind w:left="1446" w:right="0" w:hanging="719"/>
        <w:jc w:val="left"/>
      </w:pPr>
      <w:r>
        <w:rPr>
          <w:color w:val="000066"/>
          <w:spacing w:val="-8"/>
        </w:rPr>
        <w:t>Méthodologie</w:t>
      </w:r>
      <w:r>
        <w:rPr>
          <w:color w:val="000066"/>
          <w:spacing w:val="10"/>
        </w:rPr>
        <w:t> </w:t>
      </w:r>
      <w:r>
        <w:rPr>
          <w:color w:val="000066"/>
          <w:spacing w:val="-2"/>
        </w:rPr>
        <w:t>d’implémentation</w:t>
      </w:r>
    </w:p>
    <w:p>
      <w:pPr>
        <w:pStyle w:val="BodyText"/>
        <w:spacing w:line="300" w:lineRule="auto" w:before="268"/>
        <w:ind w:left="727" w:right="847"/>
        <w:jc w:val="both"/>
      </w:pPr>
      <w:r>
        <w:rPr>
          <w:w w:val="105"/>
        </w:rPr>
        <w:t>Afin de garantir la robustesse et la reproductibilité des résultats, l’Analyse des Cor- respondances Multiples (ACM) a été conduite sous deux environnements distincts : </w:t>
      </w:r>
      <w:bookmarkStart w:name="Implémentation sous R" w:id="19"/>
      <w:bookmarkEnd w:id="19"/>
      <w:r>
        <w:rPr>
          <w:w w:val="97"/>
        </w:rPr>
      </w:r>
      <w:r>
        <w:rPr>
          <w:rFonts w:ascii="Palatino Linotype" w:hAnsi="Palatino Linotype"/>
          <w:i/>
          <w:w w:val="105"/>
        </w:rPr>
        <w:t>R </w:t>
      </w:r>
      <w:r>
        <w:rPr>
          <w:w w:val="105"/>
        </w:rPr>
        <w:t>et </w:t>
      </w:r>
      <w:r>
        <w:rPr>
          <w:rFonts w:ascii="Palatino Linotype" w:hAnsi="Palatino Linotype"/>
          <w:i/>
          <w:w w:val="105"/>
        </w:rPr>
        <w:t>Python</w:t>
      </w:r>
      <w:r>
        <w:rPr>
          <w:w w:val="105"/>
        </w:rPr>
        <w:t>.</w:t>
      </w:r>
    </w:p>
    <w:p>
      <w:pPr>
        <w:pStyle w:val="BodyText"/>
        <w:spacing w:after="0" w:line="300" w:lineRule="auto"/>
        <w:jc w:val="both"/>
        <w:sectPr>
          <w:pgSz w:w="11910" w:h="16840"/>
          <w:pgMar w:header="657" w:footer="0" w:top="1340" w:bottom="280" w:left="1275" w:right="566"/>
        </w:sectPr>
      </w:pPr>
    </w:p>
    <w:p>
      <w:pPr>
        <w:pStyle w:val="Heading2"/>
        <w:numPr>
          <w:ilvl w:val="1"/>
          <w:numId w:val="1"/>
        </w:numPr>
        <w:tabs>
          <w:tab w:pos="1446" w:val="left" w:leader="none"/>
        </w:tabs>
        <w:spacing w:line="240" w:lineRule="auto" w:before="131" w:after="0"/>
        <w:ind w:left="1446" w:right="0" w:hanging="719"/>
        <w:jc w:val="left"/>
      </w:pPr>
      <w:r>
        <w:rPr>
          <w:color w:val="000066"/>
          <w:w w:val="90"/>
        </w:rPr>
        <w:t>Implémentation</w:t>
      </w:r>
      <w:r>
        <w:rPr>
          <w:color w:val="000066"/>
          <w:spacing w:val="50"/>
        </w:rPr>
        <w:t> </w:t>
      </w:r>
      <w:r>
        <w:rPr>
          <w:color w:val="000066"/>
          <w:w w:val="90"/>
        </w:rPr>
        <w:t>sous</w:t>
      </w:r>
      <w:r>
        <w:rPr>
          <w:color w:val="000066"/>
          <w:spacing w:val="49"/>
        </w:rPr>
        <w:t> </w:t>
      </w:r>
      <w:r>
        <w:rPr>
          <w:color w:val="000066"/>
          <w:spacing w:val="-10"/>
          <w:w w:val="90"/>
        </w:rPr>
        <w:t>R</w:t>
      </w:r>
    </w:p>
    <w:p>
      <w:pPr>
        <w:pStyle w:val="BodyText"/>
        <w:spacing w:before="207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899998</wp:posOffset>
            </wp:positionH>
            <wp:positionV relativeFrom="paragraph">
              <wp:posOffset>291053</wp:posOffset>
            </wp:positionV>
            <wp:extent cx="5810726" cy="4135183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726" cy="413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4"/>
        <w:rPr>
          <w:rFonts w:ascii="Georgia"/>
          <w:b/>
        </w:rPr>
      </w:pPr>
    </w:p>
    <w:p>
      <w:pPr>
        <w:pStyle w:val="Heading3"/>
      </w:pPr>
      <w:r>
        <w:rPr>
          <w:spacing w:val="-2"/>
        </w:rPr>
        <w:t>Résultat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rFonts w:ascii="Georgia"/>
          <w:b/>
          <w:sz w:val="13"/>
        </w:rPr>
      </w:pPr>
      <w:r>
        <w:rPr>
          <w:rFonts w:ascii="Georgia"/>
          <w:b/>
          <w:sz w:val="13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1044003</wp:posOffset>
            </wp:positionH>
            <wp:positionV relativeFrom="paragraph">
              <wp:posOffset>114404</wp:posOffset>
            </wp:positionV>
            <wp:extent cx="5376672" cy="3675126"/>
            <wp:effectExtent l="0" t="0" r="0" b="0"/>
            <wp:wrapTopAndBottom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3675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Georgia"/>
          <w:b/>
          <w:sz w:val="13"/>
        </w:rPr>
        <w:sectPr>
          <w:pgSz w:w="11910" w:h="16840"/>
          <w:pgMar w:header="657" w:footer="0" w:top="1340" w:bottom="280" w:left="1275" w:right="566"/>
        </w:sectPr>
      </w:pPr>
    </w:p>
    <w:p>
      <w:pPr>
        <w:spacing w:before="95"/>
        <w:ind w:left="727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Interprétation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w w:val="90"/>
          <w:sz w:val="24"/>
        </w:rPr>
        <w:t>valeurs</w:t>
      </w:r>
      <w:r>
        <w:rPr>
          <w:rFonts w:ascii="Georgia" w:hAnsi="Georgia"/>
          <w:b/>
          <w:spacing w:val="30"/>
          <w:sz w:val="24"/>
        </w:rPr>
        <w:t> </w:t>
      </w:r>
      <w:r>
        <w:rPr>
          <w:rFonts w:ascii="Georgia" w:hAnsi="Georgia"/>
          <w:b/>
          <w:w w:val="90"/>
          <w:sz w:val="24"/>
        </w:rPr>
        <w:t>propres</w:t>
      </w:r>
      <w:r>
        <w:rPr>
          <w:rFonts w:ascii="Georgia" w:hAnsi="Georgia"/>
          <w:b/>
          <w:spacing w:val="31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0"/>
          <w:numId w:val="12"/>
        </w:numPr>
        <w:tabs>
          <w:tab w:pos="1242" w:val="left" w:leader="none"/>
        </w:tabs>
        <w:spacing w:line="240" w:lineRule="auto" w:before="164" w:after="0"/>
        <w:ind w:left="1242" w:right="0" w:hanging="351"/>
        <w:jc w:val="left"/>
        <w:rPr>
          <w:sz w:val="24"/>
        </w:rPr>
      </w:pPr>
      <w:r>
        <w:rPr>
          <w:sz w:val="24"/>
        </w:rPr>
        <w:t>L’ACM</w:t>
      </w:r>
      <w:r>
        <w:rPr>
          <w:spacing w:val="15"/>
          <w:sz w:val="24"/>
        </w:rPr>
        <w:t> </w:t>
      </w:r>
      <w:r>
        <w:rPr>
          <w:sz w:val="24"/>
        </w:rPr>
        <w:t>a</w:t>
      </w:r>
      <w:r>
        <w:rPr>
          <w:spacing w:val="16"/>
          <w:sz w:val="24"/>
        </w:rPr>
        <w:t> </w:t>
      </w:r>
      <w:r>
        <w:rPr>
          <w:sz w:val="24"/>
        </w:rPr>
        <w:t>généré</w:t>
      </w:r>
      <w:r>
        <w:rPr>
          <w:spacing w:val="15"/>
          <w:sz w:val="24"/>
        </w:rPr>
        <w:t> </w:t>
      </w:r>
      <w:r>
        <w:rPr>
          <w:sz w:val="24"/>
        </w:rPr>
        <w:t>23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dimensions.</w:t>
      </w:r>
    </w:p>
    <w:p>
      <w:pPr>
        <w:pStyle w:val="ListParagraph"/>
        <w:numPr>
          <w:ilvl w:val="0"/>
          <w:numId w:val="12"/>
        </w:numPr>
        <w:tabs>
          <w:tab w:pos="1242" w:val="left" w:leader="none"/>
        </w:tabs>
        <w:spacing w:line="240" w:lineRule="auto" w:before="124" w:after="0"/>
        <w:ind w:left="1242" w:right="0" w:hanging="351"/>
        <w:jc w:val="left"/>
        <w:rPr>
          <w:sz w:val="24"/>
        </w:rPr>
      </w:pPr>
      <w:r>
        <w:rPr>
          <w:w w:val="105"/>
          <w:sz w:val="24"/>
        </w:rPr>
        <w:t>Chaque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dimension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explique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4,35%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l’inertie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totale.</w:t>
      </w:r>
    </w:p>
    <w:p>
      <w:pPr>
        <w:pStyle w:val="ListParagraph"/>
        <w:numPr>
          <w:ilvl w:val="0"/>
          <w:numId w:val="12"/>
        </w:numPr>
        <w:tabs>
          <w:tab w:pos="1242" w:val="left" w:leader="none"/>
        </w:tabs>
        <w:spacing w:line="240" w:lineRule="auto" w:before="124" w:after="0"/>
        <w:ind w:left="1242" w:right="0" w:hanging="351"/>
        <w:jc w:val="left"/>
        <w:rPr>
          <w:sz w:val="24"/>
        </w:rPr>
      </w:pPr>
      <w:r>
        <w:rPr>
          <w:sz w:val="24"/>
        </w:rPr>
        <w:t>Les</w:t>
      </w:r>
      <w:r>
        <w:rPr>
          <w:spacing w:val="11"/>
          <w:sz w:val="24"/>
        </w:rPr>
        <w:t> </w:t>
      </w:r>
      <w:r>
        <w:rPr>
          <w:sz w:val="24"/>
        </w:rPr>
        <w:t>deux</w:t>
      </w:r>
      <w:r>
        <w:rPr>
          <w:spacing w:val="11"/>
          <w:sz w:val="24"/>
        </w:rPr>
        <w:t> </w:t>
      </w:r>
      <w:r>
        <w:rPr>
          <w:sz w:val="24"/>
        </w:rPr>
        <w:t>premières</w:t>
      </w:r>
      <w:r>
        <w:rPr>
          <w:spacing w:val="12"/>
          <w:sz w:val="24"/>
        </w:rPr>
        <w:t> </w:t>
      </w:r>
      <w:r>
        <w:rPr>
          <w:sz w:val="24"/>
        </w:rPr>
        <w:t>dimensions</w:t>
      </w:r>
      <w:r>
        <w:rPr>
          <w:spacing w:val="12"/>
          <w:sz w:val="24"/>
        </w:rPr>
        <w:t> </w:t>
      </w:r>
      <w:r>
        <w:rPr>
          <w:sz w:val="24"/>
        </w:rPr>
        <w:t>expliquent</w:t>
      </w:r>
      <w:r>
        <w:rPr>
          <w:spacing w:val="11"/>
          <w:sz w:val="24"/>
        </w:rPr>
        <w:t> </w:t>
      </w:r>
      <w:r>
        <w:rPr>
          <w:sz w:val="24"/>
        </w:rPr>
        <w:t>environ</w:t>
      </w:r>
      <w:r>
        <w:rPr>
          <w:spacing w:val="12"/>
          <w:sz w:val="24"/>
        </w:rPr>
        <w:t> </w:t>
      </w:r>
      <w:r>
        <w:rPr>
          <w:sz w:val="24"/>
        </w:rPr>
        <w:t>8,7%</w:t>
      </w:r>
      <w:r>
        <w:rPr>
          <w:spacing w:val="12"/>
          <w:sz w:val="24"/>
        </w:rPr>
        <w:t> </w:t>
      </w:r>
      <w:r>
        <w:rPr>
          <w:sz w:val="24"/>
        </w:rPr>
        <w:t>de</w:t>
      </w:r>
      <w:r>
        <w:rPr>
          <w:spacing w:val="11"/>
          <w:sz w:val="24"/>
        </w:rPr>
        <w:t> </w:t>
      </w:r>
      <w:r>
        <w:rPr>
          <w:sz w:val="24"/>
        </w:rPr>
        <w:t>la</w:t>
      </w:r>
      <w:r>
        <w:rPr>
          <w:spacing w:val="12"/>
          <w:sz w:val="24"/>
        </w:rPr>
        <w:t> </w:t>
      </w:r>
      <w:r>
        <w:rPr>
          <w:sz w:val="24"/>
        </w:rPr>
        <w:t>variance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cumulée.</w:t>
      </w:r>
    </w:p>
    <w:p>
      <w:pPr>
        <w:pStyle w:val="ListParagraph"/>
        <w:numPr>
          <w:ilvl w:val="0"/>
          <w:numId w:val="12"/>
        </w:numPr>
        <w:tabs>
          <w:tab w:pos="1242" w:val="left" w:leader="none"/>
        </w:tabs>
        <w:spacing w:line="312" w:lineRule="auto" w:before="123" w:after="0"/>
        <w:ind w:left="1242" w:right="847" w:hanging="352"/>
        <w:jc w:val="left"/>
        <w:rPr>
          <w:sz w:val="24"/>
        </w:rPr>
      </w:pPr>
      <w:r>
        <w:rPr>
          <w:w w:val="105"/>
          <w:sz w:val="24"/>
        </w:rPr>
        <w:t>La faible proportion d’inertie expliquée par les premiers axes indique une dis- persion importante de l’information.</w:t>
      </w:r>
    </w:p>
    <w:p>
      <w:pPr>
        <w:pStyle w:val="BodyText"/>
        <w:spacing w:line="312" w:lineRule="auto" w:before="82"/>
        <w:ind w:left="727" w:right="775"/>
      </w:pPr>
      <w:r>
        <w:rPr>
          <w:w w:val="105"/>
        </w:rPr>
        <w:t>Ces résultats montrent qu’il n’existe pas de structure dominante très marquée dans les données.</w:t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1764004</wp:posOffset>
            </wp:positionH>
            <wp:positionV relativeFrom="paragraph">
              <wp:posOffset>156698</wp:posOffset>
            </wp:positionV>
            <wp:extent cx="4059935" cy="3730752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9935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0"/>
      </w:pPr>
    </w:p>
    <w:p>
      <w:pPr>
        <w:pStyle w:val="Heading3"/>
        <w:spacing w:before="1"/>
        <w:ind w:left="493"/>
      </w:pPr>
      <w:r>
        <w:rPr>
          <w:w w:val="90"/>
        </w:rPr>
        <w:t>Interprétation</w:t>
      </w:r>
      <w:r>
        <w:rPr>
          <w:spacing w:val="5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3"/>
        </w:numPr>
        <w:tabs>
          <w:tab w:pos="727" w:val="left" w:leader="none"/>
        </w:tabs>
        <w:spacing w:line="312" w:lineRule="auto" w:before="164" w:after="0"/>
        <w:ind w:left="727" w:right="850" w:hanging="35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plan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factoriel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représente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modalités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variables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qualitatives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deux premières dimensions.</w:t>
      </w:r>
    </w:p>
    <w:p>
      <w:pPr>
        <w:pStyle w:val="ListParagraph"/>
        <w:numPr>
          <w:ilvl w:val="0"/>
          <w:numId w:val="13"/>
        </w:numPr>
        <w:tabs>
          <w:tab w:pos="727" w:val="left" w:leader="none"/>
        </w:tabs>
        <w:spacing w:line="312" w:lineRule="auto" w:before="82" w:after="0"/>
        <w:ind w:left="727" w:right="848" w:hanging="35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modalités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proches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autres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fréquemment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associées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don- </w:t>
      </w:r>
      <w:r>
        <w:rPr>
          <w:spacing w:val="-4"/>
          <w:w w:val="105"/>
          <w:sz w:val="24"/>
        </w:rPr>
        <w:t>nées.</w:t>
      </w:r>
    </w:p>
    <w:p>
      <w:pPr>
        <w:pStyle w:val="ListParagraph"/>
        <w:numPr>
          <w:ilvl w:val="0"/>
          <w:numId w:val="13"/>
        </w:numPr>
        <w:tabs>
          <w:tab w:pos="727" w:val="left" w:leader="none"/>
        </w:tabs>
        <w:spacing w:line="240" w:lineRule="auto" w:before="81" w:after="0"/>
        <w:ind w:left="727" w:right="0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modalités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situées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part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d’autre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axe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traduisent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opposition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profils.</w:t>
      </w:r>
    </w:p>
    <w:p>
      <w:pPr>
        <w:pStyle w:val="ListParagraph"/>
        <w:numPr>
          <w:ilvl w:val="0"/>
          <w:numId w:val="13"/>
        </w:numPr>
        <w:tabs>
          <w:tab w:pos="727" w:val="left" w:leader="none"/>
        </w:tabs>
        <w:spacing w:line="312" w:lineRule="auto" w:before="165" w:after="0"/>
        <w:ind w:left="727" w:right="848" w:hanging="352"/>
        <w:jc w:val="left"/>
        <w:rPr>
          <w:sz w:val="24"/>
        </w:rPr>
      </w:pPr>
      <w:r>
        <w:rPr>
          <w:w w:val="105"/>
          <w:sz w:val="24"/>
        </w:rPr>
        <w:t>Plus une modalité est éloignée de l’origine, plus elle contribue à la structuration des </w:t>
      </w:r>
      <w:r>
        <w:rPr>
          <w:spacing w:val="-4"/>
          <w:w w:val="105"/>
          <w:sz w:val="24"/>
        </w:rPr>
        <w:t>axes.</w:t>
      </w:r>
    </w:p>
    <w:p>
      <w:pPr>
        <w:pStyle w:val="ListParagraph"/>
        <w:numPr>
          <w:ilvl w:val="0"/>
          <w:numId w:val="13"/>
        </w:numPr>
        <w:tabs>
          <w:tab w:pos="727" w:val="left" w:leader="none"/>
        </w:tabs>
        <w:spacing w:line="240" w:lineRule="auto" w:before="82" w:after="0"/>
        <w:ind w:left="727" w:right="0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modalités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proches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centre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faiblement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discriminantes.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657" w:footer="0" w:top="1340" w:bottom="280" w:left="1275" w:right="566"/>
        </w:sectPr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131" w:after="0"/>
        <w:ind w:left="860" w:right="0" w:hanging="718"/>
        <w:jc w:val="left"/>
      </w:pPr>
      <w:bookmarkStart w:name="Implémentation sous Python" w:id="20"/>
      <w:bookmarkEnd w:id="20"/>
      <w:r>
        <w:rPr>
          <w:b w:val="0"/>
        </w:rPr>
      </w:r>
      <w:r>
        <w:rPr>
          <w:color w:val="000066"/>
          <w:w w:val="90"/>
        </w:rPr>
        <w:t>Implémentation</w:t>
      </w:r>
      <w:r>
        <w:rPr>
          <w:color w:val="000066"/>
          <w:spacing w:val="50"/>
        </w:rPr>
        <w:t> </w:t>
      </w:r>
      <w:r>
        <w:rPr>
          <w:color w:val="000066"/>
          <w:w w:val="90"/>
        </w:rPr>
        <w:t>sous</w:t>
      </w:r>
      <w:r>
        <w:rPr>
          <w:color w:val="000066"/>
          <w:spacing w:val="49"/>
        </w:rPr>
        <w:t> </w:t>
      </w:r>
      <w:r>
        <w:rPr>
          <w:color w:val="000066"/>
          <w:spacing w:val="-2"/>
          <w:w w:val="90"/>
        </w:rPr>
        <w:t>Python</w:t>
      </w:r>
    </w:p>
    <w:p>
      <w:pPr>
        <w:pStyle w:val="BodyText"/>
        <w:spacing w:line="309" w:lineRule="auto" w:before="223"/>
        <w:ind w:left="142" w:right="848" w:firstLine="351"/>
        <w:jc w:val="both"/>
      </w:pPr>
      <w:r>
        <w:rPr>
          <w:w w:val="105"/>
        </w:rPr>
        <w:t>L’ACM a été réalisée en utilisant la bibliothèque Python </w:t>
      </w:r>
      <w:r>
        <w:rPr>
          <w:rFonts w:ascii="Cambria" w:hAnsi="Cambria"/>
          <w:w w:val="105"/>
        </w:rPr>
        <w:t>prince</w:t>
      </w:r>
      <w:r>
        <w:rPr>
          <w:w w:val="105"/>
        </w:rPr>
        <w:t>, spécialisée dans les méthodes factorielles.</w:t>
      </w:r>
    </w:p>
    <w:p>
      <w:pPr>
        <w:pStyle w:val="BodyText"/>
        <w:spacing w:line="279" w:lineRule="exact"/>
        <w:ind w:left="142"/>
        <w:jc w:val="both"/>
      </w:pPr>
      <w:r>
        <w:rPr>
          <w:w w:val="105"/>
        </w:rPr>
        <w:t>L’analyse</w:t>
      </w:r>
      <w:r>
        <w:rPr>
          <w:spacing w:val="-2"/>
          <w:w w:val="105"/>
        </w:rPr>
        <w:t> </w:t>
      </w:r>
      <w:r>
        <w:rPr>
          <w:w w:val="105"/>
        </w:rPr>
        <w:t>va</w:t>
      </w:r>
      <w:r>
        <w:rPr>
          <w:spacing w:val="-1"/>
          <w:w w:val="105"/>
        </w:rPr>
        <w:t> </w:t>
      </w:r>
      <w:r>
        <w:rPr>
          <w:w w:val="105"/>
        </w:rPr>
        <w:t>s’effectuer</w:t>
      </w:r>
      <w:r>
        <w:rPr>
          <w:spacing w:val="-2"/>
          <w:w w:val="105"/>
        </w:rPr>
        <w:t> </w:t>
      </w:r>
      <w:r>
        <w:rPr>
          <w:w w:val="105"/>
        </w:rPr>
        <w:t>via la</w:t>
      </w:r>
      <w:r>
        <w:rPr>
          <w:spacing w:val="-1"/>
          <w:w w:val="105"/>
        </w:rPr>
        <w:t> </w:t>
      </w:r>
      <w:r>
        <w:rPr>
          <w:w w:val="105"/>
        </w:rPr>
        <w:t>classe</w:t>
      </w:r>
      <w:r>
        <w:rPr>
          <w:spacing w:val="-2"/>
          <w:w w:val="105"/>
        </w:rPr>
        <w:t> </w:t>
      </w:r>
      <w:r>
        <w:rPr>
          <w:w w:val="105"/>
        </w:rPr>
        <w:t>:</w:t>
      </w:r>
      <w:r>
        <w:rPr>
          <w:spacing w:val="61"/>
          <w:w w:val="105"/>
        </w:rPr>
        <w:t>  </w:t>
      </w:r>
      <w:r>
        <w:rPr>
          <w:rFonts w:ascii="Cambria" w:hAnsi="Cambria"/>
          <w:spacing w:val="-2"/>
          <w:w w:val="105"/>
        </w:rPr>
        <w:t>prince.MCA()</w:t>
      </w:r>
      <w:r>
        <w:rPr>
          <w:spacing w:val="-2"/>
          <w:w w:val="105"/>
        </w:rPr>
        <w:t>.</w:t>
      </w:r>
    </w:p>
    <w:p>
      <w:pPr>
        <w:pStyle w:val="BodyText"/>
        <w:spacing w:line="312" w:lineRule="auto" w:before="81"/>
        <w:ind w:left="142" w:right="850"/>
        <w:jc w:val="both"/>
      </w:pPr>
      <w:r>
        <w:rPr>
          <w:w w:val="105"/>
        </w:rPr>
        <w:t>Nous</w:t>
      </w:r>
      <w:r>
        <w:rPr>
          <w:spacing w:val="-5"/>
          <w:w w:val="105"/>
        </w:rPr>
        <w:t> </w:t>
      </w:r>
      <w:r>
        <w:rPr>
          <w:w w:val="105"/>
        </w:rPr>
        <w:t>avons</w:t>
      </w:r>
      <w:r>
        <w:rPr>
          <w:spacing w:val="-5"/>
          <w:w w:val="105"/>
        </w:rPr>
        <w:t> </w:t>
      </w:r>
      <w:r>
        <w:rPr>
          <w:w w:val="105"/>
        </w:rPr>
        <w:t>créé</w:t>
      </w:r>
      <w:r>
        <w:rPr>
          <w:spacing w:val="-5"/>
          <w:w w:val="105"/>
        </w:rPr>
        <w:t> </w:t>
      </w: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w w:val="105"/>
        </w:rPr>
        <w:t>objet</w:t>
      </w:r>
      <w:r>
        <w:rPr>
          <w:spacing w:val="-5"/>
          <w:w w:val="105"/>
        </w:rPr>
        <w:t> </w:t>
      </w:r>
      <w:r>
        <w:rPr>
          <w:w w:val="105"/>
        </w:rPr>
        <w:t>MCA</w:t>
      </w:r>
      <w:r>
        <w:rPr>
          <w:spacing w:val="-5"/>
          <w:w w:val="105"/>
        </w:rPr>
        <w:t> </w:t>
      </w:r>
      <w:r>
        <w:rPr>
          <w:w w:val="105"/>
        </w:rPr>
        <w:t>avec</w:t>
      </w:r>
      <w:r>
        <w:rPr>
          <w:spacing w:val="-5"/>
          <w:w w:val="105"/>
        </w:rPr>
        <w:t> </w:t>
      </w:r>
      <w:r>
        <w:rPr>
          <w:w w:val="105"/>
        </w:rPr>
        <w:t>2</w:t>
      </w:r>
      <w:r>
        <w:rPr>
          <w:spacing w:val="-5"/>
          <w:w w:val="105"/>
        </w:rPr>
        <w:t> </w:t>
      </w:r>
      <w:r>
        <w:rPr>
          <w:w w:val="105"/>
        </w:rPr>
        <w:t>composantes</w:t>
      </w:r>
      <w:r>
        <w:rPr>
          <w:spacing w:val="-5"/>
          <w:w w:val="105"/>
        </w:rPr>
        <w:t> </w:t>
      </w:r>
      <w:r>
        <w:rPr>
          <w:w w:val="105"/>
        </w:rPr>
        <w:t>principales</w:t>
      </w:r>
      <w:r>
        <w:rPr>
          <w:spacing w:val="-5"/>
          <w:w w:val="105"/>
        </w:rPr>
        <w:t> </w:t>
      </w:r>
      <w:r>
        <w:rPr>
          <w:w w:val="105"/>
        </w:rPr>
        <w:t>pour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visualisation</w:t>
      </w:r>
      <w:r>
        <w:rPr>
          <w:spacing w:val="-5"/>
          <w:w w:val="105"/>
        </w:rPr>
        <w:t> </w:t>
      </w:r>
      <w:r>
        <w:rPr>
          <w:w w:val="105"/>
        </w:rPr>
        <w:t>et</w:t>
      </w:r>
      <w:r>
        <w:rPr>
          <w:spacing w:val="-5"/>
          <w:w w:val="105"/>
        </w:rPr>
        <w:t> </w:t>
      </w:r>
      <w:r>
        <w:rPr>
          <w:w w:val="105"/>
        </w:rPr>
        <w:t>10 itérations</w:t>
      </w:r>
      <w:r>
        <w:rPr>
          <w:spacing w:val="-6"/>
          <w:w w:val="105"/>
        </w:rPr>
        <w:t> </w:t>
      </w:r>
      <w:r>
        <w:rPr>
          <w:w w:val="105"/>
        </w:rPr>
        <w:t>pour</w:t>
      </w:r>
      <w:r>
        <w:rPr>
          <w:spacing w:val="-6"/>
          <w:w w:val="105"/>
        </w:rPr>
        <w:t> </w:t>
      </w:r>
      <w:r>
        <w:rPr>
          <w:w w:val="105"/>
        </w:rPr>
        <w:t>assurer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convergence.</w:t>
      </w:r>
      <w:r>
        <w:rPr>
          <w:spacing w:val="-6"/>
          <w:w w:val="105"/>
        </w:rPr>
        <w:t> </w:t>
      </w:r>
      <w:r>
        <w:rPr>
          <w:w w:val="105"/>
        </w:rPr>
        <w:t>Le</w:t>
      </w:r>
      <w:r>
        <w:rPr>
          <w:spacing w:val="-6"/>
          <w:w w:val="105"/>
        </w:rPr>
        <w:t> </w:t>
      </w:r>
      <w:r>
        <w:rPr>
          <w:w w:val="105"/>
        </w:rPr>
        <w:t>modèle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été</w:t>
      </w:r>
      <w:r>
        <w:rPr>
          <w:spacing w:val="-6"/>
          <w:w w:val="105"/>
        </w:rPr>
        <w:t> </w:t>
      </w:r>
      <w:r>
        <w:rPr>
          <w:w w:val="105"/>
        </w:rPr>
        <w:t>ajusté</w:t>
      </w:r>
      <w:r>
        <w:rPr>
          <w:spacing w:val="-6"/>
          <w:w w:val="105"/>
        </w:rPr>
        <w:t> </w:t>
      </w:r>
      <w:r>
        <w:rPr>
          <w:w w:val="105"/>
        </w:rPr>
        <w:t>sur</w:t>
      </w:r>
      <w:r>
        <w:rPr>
          <w:spacing w:val="-6"/>
          <w:w w:val="105"/>
        </w:rPr>
        <w:t> </w:t>
      </w:r>
      <w:r>
        <w:rPr>
          <w:w w:val="105"/>
        </w:rPr>
        <w:t>les</w:t>
      </w:r>
      <w:r>
        <w:rPr>
          <w:spacing w:val="-6"/>
          <w:w w:val="105"/>
        </w:rPr>
        <w:t> </w:t>
      </w:r>
      <w:r>
        <w:rPr>
          <w:w w:val="105"/>
        </w:rPr>
        <w:t>variables</w:t>
      </w:r>
      <w:r>
        <w:rPr>
          <w:spacing w:val="-6"/>
          <w:w w:val="105"/>
        </w:rPr>
        <w:t> </w:t>
      </w:r>
      <w:r>
        <w:rPr>
          <w:w w:val="105"/>
        </w:rPr>
        <w:t>qualitatives du dataset contenant les années 2002 à 2025.</w:t>
      </w:r>
    </w:p>
    <w:p>
      <w:pPr>
        <w:pStyle w:val="BodyText"/>
        <w:spacing w:line="312" w:lineRule="auto"/>
        <w:ind w:left="142" w:right="848"/>
        <w:jc w:val="both"/>
      </w:pPr>
      <w:r>
        <w:rPr>
          <w:w w:val="105"/>
        </w:rPr>
        <w:t>Les</w:t>
      </w:r>
      <w:r>
        <w:rPr>
          <w:w w:val="105"/>
        </w:rPr>
        <w:t> deux</w:t>
      </w:r>
      <w:r>
        <w:rPr>
          <w:w w:val="105"/>
        </w:rPr>
        <w:t> premières</w:t>
      </w:r>
      <w:r>
        <w:rPr>
          <w:w w:val="105"/>
        </w:rPr>
        <w:t> dimensions</w:t>
      </w:r>
      <w:r>
        <w:rPr>
          <w:w w:val="105"/>
        </w:rPr>
        <w:t> ont</w:t>
      </w:r>
      <w:r>
        <w:rPr>
          <w:w w:val="105"/>
        </w:rPr>
        <w:t> été</w:t>
      </w:r>
      <w:r>
        <w:rPr>
          <w:w w:val="105"/>
        </w:rPr>
        <w:t> choisies</w:t>
      </w:r>
      <w:r>
        <w:rPr>
          <w:w w:val="105"/>
        </w:rPr>
        <w:t> car</w:t>
      </w:r>
      <w:r>
        <w:rPr>
          <w:w w:val="105"/>
        </w:rPr>
        <w:t> elles</w:t>
      </w:r>
      <w:r>
        <w:rPr>
          <w:w w:val="105"/>
        </w:rPr>
        <w:t> expliquent</w:t>
      </w:r>
      <w:r>
        <w:rPr>
          <w:w w:val="105"/>
        </w:rPr>
        <w:t> l’inertie</w:t>
      </w:r>
      <w:r>
        <w:rPr>
          <w:w w:val="105"/>
        </w:rPr>
        <w:t> totale</w:t>
      </w:r>
      <w:r>
        <w:rPr>
          <w:w w:val="105"/>
        </w:rPr>
        <w:t> des données et permettent une représentation graphique claire.</w:t>
      </w:r>
    </w:p>
    <w:p>
      <w:pPr>
        <w:pStyle w:val="BodyText"/>
        <w:spacing w:line="276" w:lineRule="exact"/>
        <w:ind w:left="493"/>
      </w:pPr>
      <w:r>
        <w:rPr/>
        <w:t>Les</w:t>
      </w:r>
      <w:r>
        <w:rPr>
          <w:spacing w:val="26"/>
        </w:rPr>
        <w:t> </w:t>
      </w:r>
      <w:r>
        <w:rPr/>
        <w:t>fonctions</w:t>
      </w:r>
      <w:r>
        <w:rPr>
          <w:spacing w:val="27"/>
        </w:rPr>
        <w:t> </w:t>
      </w:r>
      <w:r>
        <w:rPr/>
        <w:t>essentielles</w:t>
      </w:r>
      <w:r>
        <w:rPr>
          <w:spacing w:val="26"/>
        </w:rPr>
        <w:t> </w:t>
      </w:r>
      <w:r>
        <w:rPr/>
        <w:t>utilisées</w:t>
      </w:r>
      <w:r>
        <w:rPr>
          <w:spacing w:val="26"/>
        </w:rPr>
        <w:t> </w:t>
      </w:r>
      <w:r>
        <w:rPr/>
        <w:t>sont</w:t>
      </w:r>
      <w:r>
        <w:rPr>
          <w:spacing w:val="2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  <w:tab w:pos="727" w:val="left" w:leader="none"/>
        </w:tabs>
        <w:spacing w:line="309" w:lineRule="auto" w:before="123" w:after="0"/>
        <w:ind w:left="727" w:right="850" w:hanging="235"/>
        <w:jc w:val="left"/>
        <w:rPr>
          <w:sz w:val="24"/>
        </w:rPr>
      </w:pPr>
      <w:r>
        <w:rPr>
          <w:rFonts w:ascii="Cambria" w:hAnsi="Cambria"/>
          <w:w w:val="105"/>
          <w:sz w:val="24"/>
        </w:rPr>
        <w:t>MCA()</w:t>
      </w:r>
      <w:r>
        <w:rPr>
          <w:rFonts w:ascii="Cambria" w:hAnsi="Cambria"/>
          <w:spacing w:val="37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création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l’objet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ACM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composantes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d’itérations </w:t>
      </w:r>
      <w:r>
        <w:rPr>
          <w:spacing w:val="-2"/>
          <w:w w:val="105"/>
          <w:sz w:val="24"/>
        </w:rPr>
        <w:t>choisi.</w:t>
      </w:r>
    </w:p>
    <w:p>
      <w:pPr>
        <w:pStyle w:val="ListParagraph"/>
        <w:numPr>
          <w:ilvl w:val="0"/>
          <w:numId w:val="14"/>
        </w:numPr>
        <w:tabs>
          <w:tab w:pos="726" w:val="left" w:leader="none"/>
        </w:tabs>
        <w:spacing w:line="240" w:lineRule="auto" w:before="43" w:after="0"/>
        <w:ind w:left="726" w:right="0" w:hanging="233"/>
        <w:jc w:val="left"/>
        <w:rPr>
          <w:sz w:val="24"/>
        </w:rPr>
      </w:pPr>
      <w:r>
        <w:rPr>
          <w:rFonts w:ascii="Cambria" w:hAnsi="Cambria"/>
          <w:w w:val="130"/>
          <w:sz w:val="24"/>
        </w:rPr>
        <w:t>fit()</w:t>
      </w:r>
      <w:r>
        <w:rPr>
          <w:rFonts w:ascii="Cambria" w:hAnsi="Cambria"/>
          <w:spacing w:val="-5"/>
          <w:w w:val="130"/>
          <w:sz w:val="24"/>
        </w:rPr>
        <w:t> </w:t>
      </w:r>
      <w:r>
        <w:rPr>
          <w:w w:val="110"/>
          <w:sz w:val="24"/>
        </w:rPr>
        <w:t>: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ajustement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modèle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aux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données</w:t>
      </w:r>
      <w:r>
        <w:rPr>
          <w:spacing w:val="-2"/>
          <w:w w:val="110"/>
          <w:sz w:val="24"/>
        </w:rPr>
        <w:t> qualitatives.</w:t>
      </w:r>
    </w:p>
    <w:p>
      <w:pPr>
        <w:pStyle w:val="ListParagraph"/>
        <w:numPr>
          <w:ilvl w:val="0"/>
          <w:numId w:val="14"/>
        </w:numPr>
        <w:tabs>
          <w:tab w:pos="726" w:val="left" w:leader="none"/>
        </w:tabs>
        <w:spacing w:line="240" w:lineRule="auto" w:before="122" w:after="0"/>
        <w:ind w:left="726" w:right="0" w:hanging="233"/>
        <w:jc w:val="left"/>
        <w:rPr>
          <w:sz w:val="24"/>
        </w:rPr>
      </w:pPr>
      <w:r>
        <w:rPr>
          <w:rFonts w:ascii="Cambria" w:hAnsi="Cambria"/>
          <w:sz w:val="24"/>
        </w:rPr>
        <w:t>transform()</w:t>
      </w:r>
      <w:r>
        <w:rPr>
          <w:rFonts w:ascii="Cambria" w:hAnsi="Cambria"/>
          <w:spacing w:val="33"/>
          <w:sz w:val="24"/>
        </w:rPr>
        <w:t> </w:t>
      </w:r>
      <w:r>
        <w:rPr>
          <w:sz w:val="24"/>
        </w:rPr>
        <w:t>:</w:t>
      </w:r>
      <w:r>
        <w:rPr>
          <w:spacing w:val="27"/>
          <w:sz w:val="24"/>
        </w:rPr>
        <w:t> </w:t>
      </w:r>
      <w:r>
        <w:rPr>
          <w:sz w:val="24"/>
        </w:rPr>
        <w:t>obtention</w:t>
      </w:r>
      <w:r>
        <w:rPr>
          <w:spacing w:val="27"/>
          <w:sz w:val="24"/>
        </w:rPr>
        <w:t> </w:t>
      </w:r>
      <w:r>
        <w:rPr>
          <w:sz w:val="24"/>
        </w:rPr>
        <w:t>des</w:t>
      </w:r>
      <w:r>
        <w:rPr>
          <w:spacing w:val="26"/>
          <w:sz w:val="24"/>
        </w:rPr>
        <w:t> </w:t>
      </w:r>
      <w:r>
        <w:rPr>
          <w:sz w:val="24"/>
        </w:rPr>
        <w:t>coordonnées</w:t>
      </w:r>
      <w:r>
        <w:rPr>
          <w:spacing w:val="27"/>
          <w:sz w:val="24"/>
        </w:rPr>
        <w:t> </w:t>
      </w:r>
      <w:r>
        <w:rPr>
          <w:sz w:val="24"/>
        </w:rPr>
        <w:t>des</w:t>
      </w:r>
      <w:r>
        <w:rPr>
          <w:spacing w:val="27"/>
          <w:sz w:val="24"/>
        </w:rPr>
        <w:t> </w:t>
      </w:r>
      <w:r>
        <w:rPr>
          <w:sz w:val="24"/>
        </w:rPr>
        <w:t>individus</w:t>
      </w:r>
      <w:r>
        <w:rPr>
          <w:spacing w:val="27"/>
          <w:sz w:val="24"/>
        </w:rPr>
        <w:t> </w:t>
      </w:r>
      <w:r>
        <w:rPr>
          <w:sz w:val="24"/>
        </w:rPr>
        <w:t>(années)</w:t>
      </w:r>
      <w:r>
        <w:rPr>
          <w:spacing w:val="27"/>
          <w:sz w:val="24"/>
        </w:rPr>
        <w:t> </w:t>
      </w:r>
      <w:r>
        <w:rPr>
          <w:sz w:val="24"/>
        </w:rPr>
        <w:t>sur</w:t>
      </w:r>
      <w:r>
        <w:rPr>
          <w:spacing w:val="26"/>
          <w:sz w:val="24"/>
        </w:rPr>
        <w:t> </w:t>
      </w: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plan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factoriel</w:t>
      </w:r>
    </w:p>
    <w:p>
      <w:pPr>
        <w:pStyle w:val="ListParagraph"/>
        <w:numPr>
          <w:ilvl w:val="0"/>
          <w:numId w:val="14"/>
        </w:numPr>
        <w:tabs>
          <w:tab w:pos="725" w:val="left" w:leader="none"/>
          <w:tab w:pos="727" w:val="left" w:leader="none"/>
        </w:tabs>
        <w:spacing w:line="312" w:lineRule="auto" w:before="122" w:after="0"/>
        <w:ind w:left="727" w:right="848" w:hanging="235"/>
        <w:jc w:val="both"/>
        <w:rPr>
          <w:sz w:val="24"/>
        </w:rPr>
      </w:pPr>
      <w:r>
        <w:rPr>
          <w:rFonts w:ascii="Cambria" w:hAnsi="Cambria"/>
          <w:w w:val="105"/>
          <w:sz w:val="24"/>
        </w:rPr>
        <w:t>column_coordinates()</w:t>
      </w:r>
      <w:r>
        <w:rPr>
          <w:rFonts w:ascii="Cambria" w:hAnsi="Cambria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w w:val="105"/>
          <w:sz w:val="24"/>
        </w:rPr>
        <w:t> obtention</w:t>
      </w:r>
      <w:r>
        <w:rPr>
          <w:w w:val="105"/>
          <w:sz w:val="24"/>
        </w:rPr>
        <w:t> des</w:t>
      </w:r>
      <w:r>
        <w:rPr>
          <w:w w:val="105"/>
          <w:sz w:val="24"/>
        </w:rPr>
        <w:t> coordonnées</w:t>
      </w:r>
      <w:r>
        <w:rPr>
          <w:w w:val="105"/>
          <w:sz w:val="24"/>
        </w:rPr>
        <w:t> des</w:t>
      </w:r>
      <w:r>
        <w:rPr>
          <w:w w:val="105"/>
          <w:sz w:val="24"/>
        </w:rPr>
        <w:t> modalités</w:t>
      </w:r>
      <w:r>
        <w:rPr>
          <w:w w:val="105"/>
          <w:sz w:val="24"/>
        </w:rPr>
        <w:t> des</w:t>
      </w:r>
      <w:r>
        <w:rPr>
          <w:w w:val="105"/>
          <w:sz w:val="24"/>
        </w:rPr>
        <w:t> variables qualitatives, permettant de visualiser leur position relative et d’analyser leurs rela- tions avec les années. Ces coordonnées ont été utilisées pour générer les graphiques représentant</w:t>
      </w:r>
      <w:r>
        <w:rPr>
          <w:w w:val="105"/>
          <w:sz w:val="24"/>
        </w:rPr>
        <w:t> les</w:t>
      </w:r>
      <w:r>
        <w:rPr>
          <w:w w:val="105"/>
          <w:sz w:val="24"/>
        </w:rPr>
        <w:t> individus,</w:t>
      </w:r>
      <w:r>
        <w:rPr>
          <w:w w:val="105"/>
          <w:sz w:val="24"/>
        </w:rPr>
        <w:t> les</w:t>
      </w:r>
      <w:r>
        <w:rPr>
          <w:w w:val="105"/>
          <w:sz w:val="24"/>
        </w:rPr>
        <w:t> modalités</w:t>
      </w:r>
      <w:r>
        <w:rPr>
          <w:w w:val="105"/>
          <w:sz w:val="24"/>
        </w:rPr>
        <w:t> et</w:t>
      </w:r>
      <w:r>
        <w:rPr>
          <w:w w:val="105"/>
          <w:sz w:val="24"/>
        </w:rPr>
        <w:t> la</w:t>
      </w:r>
      <w:r>
        <w:rPr>
          <w:w w:val="105"/>
          <w:sz w:val="24"/>
        </w:rPr>
        <w:t> projection</w:t>
      </w:r>
      <w:r>
        <w:rPr>
          <w:w w:val="105"/>
          <w:sz w:val="24"/>
        </w:rPr>
        <w:t> combinée,</w:t>
      </w:r>
      <w:r>
        <w:rPr>
          <w:w w:val="105"/>
          <w:sz w:val="24"/>
        </w:rPr>
        <w:t> facilitant</w:t>
      </w:r>
      <w:r>
        <w:rPr>
          <w:w w:val="105"/>
          <w:sz w:val="24"/>
        </w:rPr>
        <w:t> ainsi l’interprétation des relations dans le dataset.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493"/>
      </w:pPr>
      <w:r>
        <w:rPr/>
        <w:t>Les</w:t>
      </w:r>
      <w:r>
        <w:rPr>
          <w:spacing w:val="32"/>
        </w:rPr>
        <w:t> </w:t>
      </w:r>
      <w:r>
        <w:rPr/>
        <w:t>figures</w:t>
      </w:r>
      <w:r>
        <w:rPr>
          <w:spacing w:val="33"/>
        </w:rPr>
        <w:t> </w:t>
      </w:r>
      <w:r>
        <w:rPr/>
        <w:t>suivantes</w:t>
      </w:r>
      <w:r>
        <w:rPr>
          <w:spacing w:val="32"/>
        </w:rPr>
        <w:t> </w:t>
      </w:r>
      <w:r>
        <w:rPr/>
        <w:t>présentent</w:t>
      </w:r>
      <w:r>
        <w:rPr>
          <w:spacing w:val="32"/>
        </w:rPr>
        <w:t> </w:t>
      </w:r>
      <w:r>
        <w:rPr/>
        <w:t>les</w:t>
      </w:r>
      <w:r>
        <w:rPr>
          <w:spacing w:val="34"/>
        </w:rPr>
        <w:t> </w:t>
      </w:r>
      <w:r>
        <w:rPr/>
        <w:t>résultats</w:t>
      </w:r>
      <w:r>
        <w:rPr>
          <w:spacing w:val="32"/>
        </w:rPr>
        <w:t> </w:t>
      </w:r>
      <w:r>
        <w:rPr/>
        <w:t>de</w:t>
      </w:r>
      <w:r>
        <w:rPr>
          <w:spacing w:val="32"/>
        </w:rPr>
        <w:t> </w:t>
      </w:r>
      <w:r>
        <w:rPr/>
        <w:t>l’ACM</w:t>
      </w:r>
      <w:r>
        <w:rPr>
          <w:spacing w:val="3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5"/>
        </w:numPr>
        <w:tabs>
          <w:tab w:pos="726" w:val="left" w:leader="none"/>
        </w:tabs>
        <w:spacing w:line="240" w:lineRule="auto" w:before="88" w:after="0"/>
        <w:ind w:left="726" w:right="0" w:hanging="236"/>
        <w:jc w:val="left"/>
        <w:rPr>
          <w:sz w:val="24"/>
        </w:rPr>
      </w:pPr>
      <w:r>
        <w:rPr>
          <w:w w:val="105"/>
          <w:sz w:val="24"/>
        </w:rPr>
        <w:t>Projection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individus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chaque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point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année.</w:t>
      </w:r>
    </w:p>
    <w:p>
      <w:pPr>
        <w:pStyle w:val="ListParagraph"/>
        <w:numPr>
          <w:ilvl w:val="0"/>
          <w:numId w:val="15"/>
        </w:numPr>
        <w:tabs>
          <w:tab w:pos="727" w:val="left" w:leader="none"/>
        </w:tabs>
        <w:spacing w:line="259" w:lineRule="auto" w:before="35" w:after="0"/>
        <w:ind w:left="727" w:right="848" w:hanging="237"/>
        <w:jc w:val="left"/>
        <w:rPr>
          <w:sz w:val="24"/>
        </w:rPr>
      </w:pPr>
      <w:r>
        <w:rPr>
          <w:w w:val="105"/>
          <w:sz w:val="24"/>
        </w:rPr>
        <w:t>Projection des modalités : chaque point correspond à une catégorie d’une variable, avec des couleurs différentes par variable.</w:t>
      </w:r>
    </w:p>
    <w:p>
      <w:pPr>
        <w:pStyle w:val="ListParagraph"/>
        <w:numPr>
          <w:ilvl w:val="0"/>
          <w:numId w:val="15"/>
        </w:numPr>
        <w:tabs>
          <w:tab w:pos="727" w:val="left" w:leader="none"/>
        </w:tabs>
        <w:spacing w:line="259" w:lineRule="auto" w:before="65" w:after="0"/>
        <w:ind w:left="727" w:right="849" w:hanging="237"/>
        <w:jc w:val="left"/>
        <w:rPr>
          <w:sz w:val="24"/>
        </w:rPr>
      </w:pPr>
      <w:r>
        <w:rPr>
          <w:w w:val="105"/>
          <w:sz w:val="24"/>
        </w:rPr>
        <w:t>Projection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combinée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individus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modalités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plan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factoriel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analyser les relations directes.</w:t>
      </w:r>
    </w:p>
    <w:p>
      <w:pPr>
        <w:pStyle w:val="BodyText"/>
        <w:spacing w:before="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2063159</wp:posOffset>
            </wp:positionH>
            <wp:positionV relativeFrom="paragraph">
              <wp:posOffset>166186</wp:posOffset>
            </wp:positionV>
            <wp:extent cx="3195542" cy="2256567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542" cy="2256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657" w:footer="0" w:top="1340" w:bottom="280" w:left="1275" w:right="566"/>
        </w:sectPr>
      </w:pPr>
    </w:p>
    <w:p>
      <w:pPr>
        <w:pStyle w:val="BodyText"/>
        <w:spacing w:before="7"/>
        <w:rPr>
          <w:sz w:val="6"/>
        </w:rPr>
      </w:pPr>
    </w:p>
    <w:p>
      <w:pPr>
        <w:pStyle w:val="BodyText"/>
        <w:ind w:left="556"/>
        <w:rPr>
          <w:sz w:val="20"/>
        </w:rPr>
      </w:pPr>
      <w:r>
        <w:rPr>
          <w:sz w:val="20"/>
        </w:rPr>
        <w:drawing>
          <wp:inline distT="0" distB="0" distL="0" distR="0">
            <wp:extent cx="5161787" cy="2455164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1787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1163243</wp:posOffset>
            </wp:positionH>
            <wp:positionV relativeFrom="paragraph">
              <wp:posOffset>231174</wp:posOffset>
            </wp:positionV>
            <wp:extent cx="5206460" cy="2314479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6460" cy="231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</w:pPr>
    </w:p>
    <w:p>
      <w:pPr>
        <w:pStyle w:val="Heading3"/>
        <w:ind w:left="493"/>
        <w:jc w:val="both"/>
      </w:pPr>
      <w:r>
        <w:rPr>
          <w:w w:val="90"/>
        </w:rPr>
        <w:t>Interprétation</w:t>
      </w:r>
      <w:r>
        <w:rPr>
          <w:spacing w:val="41"/>
        </w:rPr>
        <w:t> </w:t>
      </w:r>
      <w:r>
        <w:rPr>
          <w:w w:val="90"/>
        </w:rPr>
        <w:t>des</w:t>
      </w:r>
      <w:r>
        <w:rPr>
          <w:spacing w:val="41"/>
        </w:rPr>
        <w:t> </w:t>
      </w:r>
      <w:r>
        <w:rPr>
          <w:w w:val="90"/>
        </w:rPr>
        <w:t>résultats</w:t>
      </w:r>
      <w:r>
        <w:rPr>
          <w:spacing w:val="41"/>
        </w:rPr>
        <w:t> </w:t>
      </w:r>
      <w:r>
        <w:rPr>
          <w:spacing w:val="-10"/>
          <w:w w:val="90"/>
        </w:rPr>
        <w:t>:</w:t>
      </w:r>
    </w:p>
    <w:p>
      <w:pPr>
        <w:pStyle w:val="BodyText"/>
        <w:spacing w:line="297" w:lineRule="auto" w:before="78"/>
        <w:ind w:left="142" w:right="848"/>
        <w:jc w:val="both"/>
      </w:pPr>
      <w:r>
        <w:rPr/>
        <w:t>Les deux premières dimensions de l’ACM expliquent ensemble </w:t>
      </w:r>
      <w:r>
        <w:rPr>
          <w:rFonts w:ascii="Calibri" w:hAnsi="Calibri"/>
        </w:rPr>
        <w:t>100% </w:t>
      </w:r>
      <w:r>
        <w:rPr/>
        <w:t>de l’inertie du jeu de données :</w:t>
      </w:r>
    </w:p>
    <w:p>
      <w:pPr>
        <w:pStyle w:val="ListParagraph"/>
        <w:numPr>
          <w:ilvl w:val="0"/>
          <w:numId w:val="13"/>
        </w:numPr>
        <w:tabs>
          <w:tab w:pos="727" w:val="left" w:leader="none"/>
        </w:tabs>
        <w:spacing w:line="240" w:lineRule="auto" w:before="94" w:after="0"/>
        <w:ind w:left="727" w:right="0" w:hanging="351"/>
        <w:jc w:val="both"/>
        <w:rPr>
          <w:sz w:val="24"/>
        </w:rPr>
      </w:pPr>
      <w:r>
        <w:rPr>
          <w:sz w:val="24"/>
        </w:rPr>
        <w:t>Dimension</w:t>
      </w:r>
      <w:r>
        <w:rPr>
          <w:spacing w:val="26"/>
          <w:sz w:val="24"/>
        </w:rPr>
        <w:t> </w:t>
      </w:r>
      <w:r>
        <w:rPr>
          <w:rFonts w:ascii="Calibri" w:hAnsi="Calibri"/>
          <w:sz w:val="24"/>
        </w:rPr>
        <w:t>1</w:t>
      </w:r>
      <w:r>
        <w:rPr>
          <w:rFonts w:ascii="Calibri" w:hAnsi="Calibri"/>
          <w:spacing w:val="33"/>
          <w:sz w:val="24"/>
        </w:rPr>
        <w:t> </w:t>
      </w:r>
      <w:r>
        <w:rPr>
          <w:sz w:val="24"/>
        </w:rPr>
        <w:t>explique</w:t>
      </w:r>
      <w:r>
        <w:rPr>
          <w:spacing w:val="28"/>
          <w:sz w:val="24"/>
        </w:rPr>
        <w:t> </w:t>
      </w:r>
      <w:r>
        <w:rPr>
          <w:sz w:val="24"/>
        </w:rPr>
        <w:t>environ</w:t>
      </w:r>
      <w:r>
        <w:rPr>
          <w:spacing w:val="28"/>
          <w:sz w:val="24"/>
        </w:rPr>
        <w:t> </w:t>
      </w:r>
      <w:r>
        <w:rPr>
          <w:rFonts w:ascii="Calibri" w:hAnsi="Calibri"/>
          <w:sz w:val="24"/>
        </w:rPr>
        <w:t>53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1"/>
          <w:sz w:val="24"/>
        </w:rPr>
        <w:t> </w:t>
      </w:r>
      <w:r>
        <w:rPr>
          <w:rFonts w:ascii="Calibri" w:hAnsi="Calibri"/>
          <w:sz w:val="24"/>
        </w:rPr>
        <w:t>17%</w:t>
      </w:r>
      <w:r>
        <w:rPr>
          <w:rFonts w:ascii="Calibri" w:hAnsi="Calibri"/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variance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totale.</w:t>
      </w:r>
    </w:p>
    <w:p>
      <w:pPr>
        <w:pStyle w:val="ListParagraph"/>
        <w:numPr>
          <w:ilvl w:val="0"/>
          <w:numId w:val="13"/>
        </w:numPr>
        <w:tabs>
          <w:tab w:pos="727" w:val="left" w:leader="none"/>
        </w:tabs>
        <w:spacing w:line="240" w:lineRule="auto" w:before="148" w:after="0"/>
        <w:ind w:left="727" w:right="0" w:hanging="351"/>
        <w:jc w:val="both"/>
        <w:rPr>
          <w:sz w:val="24"/>
        </w:rPr>
      </w:pPr>
      <w:r>
        <w:rPr>
          <w:sz w:val="24"/>
        </w:rPr>
        <w:t>Dimension</w:t>
      </w:r>
      <w:r>
        <w:rPr>
          <w:spacing w:val="23"/>
          <w:sz w:val="24"/>
        </w:rPr>
        <w:t> </w:t>
      </w:r>
      <w:r>
        <w:rPr>
          <w:rFonts w:ascii="Calibri" w:hAnsi="Calibri"/>
          <w:sz w:val="24"/>
        </w:rPr>
        <w:t>2</w:t>
      </w:r>
      <w:r>
        <w:rPr>
          <w:rFonts w:ascii="Calibri" w:hAnsi="Calibri"/>
          <w:spacing w:val="30"/>
          <w:sz w:val="24"/>
        </w:rPr>
        <w:t> </w:t>
      </w:r>
      <w:r>
        <w:rPr>
          <w:sz w:val="24"/>
        </w:rPr>
        <w:t>explique</w:t>
      </w:r>
      <w:r>
        <w:rPr>
          <w:spacing w:val="24"/>
          <w:sz w:val="24"/>
        </w:rPr>
        <w:t> </w:t>
      </w:r>
      <w:r>
        <w:rPr>
          <w:sz w:val="24"/>
        </w:rPr>
        <w:t>environ</w:t>
      </w:r>
      <w:r>
        <w:rPr>
          <w:spacing w:val="25"/>
          <w:sz w:val="24"/>
        </w:rPr>
        <w:t> </w:t>
      </w:r>
      <w:r>
        <w:rPr>
          <w:rFonts w:ascii="Calibri" w:hAnsi="Calibri"/>
          <w:sz w:val="24"/>
        </w:rPr>
        <w:t>46</w:t>
      </w: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-12"/>
          <w:sz w:val="24"/>
        </w:rPr>
        <w:t> </w:t>
      </w:r>
      <w:r>
        <w:rPr>
          <w:rFonts w:ascii="Calibri" w:hAnsi="Calibri"/>
          <w:spacing w:val="-4"/>
          <w:sz w:val="24"/>
        </w:rPr>
        <w:t>83%</w:t>
      </w:r>
      <w:r>
        <w:rPr>
          <w:spacing w:val="-4"/>
          <w:sz w:val="24"/>
        </w:rPr>
        <w:t>.</w:t>
      </w:r>
    </w:p>
    <w:p>
      <w:pPr>
        <w:pStyle w:val="BodyText"/>
        <w:spacing w:line="312" w:lineRule="auto" w:before="152"/>
        <w:ind w:left="142" w:right="849"/>
        <w:jc w:val="both"/>
      </w:pPr>
      <w:r>
        <w:rPr>
          <w:w w:val="105"/>
        </w:rPr>
        <w:t>Autrement dit, ces deux dimensions capturent presque toute l’information contenue dans le jeu de données. Par conséquent la projection sur ces deux dimensions permet de repré- senter fidèlement les relations entre les individus et les modalités.</w:t>
      </w:r>
    </w:p>
    <w:p>
      <w:pPr>
        <w:pStyle w:val="BodyText"/>
        <w:spacing w:before="82"/>
      </w:pPr>
    </w:p>
    <w:p>
      <w:pPr>
        <w:pStyle w:val="BodyText"/>
        <w:spacing w:line="307" w:lineRule="auto"/>
        <w:ind w:left="142" w:right="846" w:firstLine="351"/>
        <w:jc w:val="both"/>
        <w:rPr>
          <w:rFonts w:ascii="Arial" w:hAnsi="Arial"/>
          <w:b/>
          <w:i/>
        </w:rPr>
      </w:pPr>
      <w:r>
        <w:rPr/>
        <w:t>On observe que l’ACM montre une bonne structuration des données sur les 2 premières dimensions : </w:t>
      </w:r>
      <w:r>
        <w:rPr>
          <w:rFonts w:ascii="Arial" w:hAnsi="Arial"/>
          <w:b/>
          <w:i/>
        </w:rPr>
        <w:t>La dimension </w:t>
      </w:r>
      <w:r>
        <w:rPr>
          <w:rFonts w:ascii="Calibri" w:hAnsi="Calibri"/>
        </w:rPr>
        <w:t>1 </w:t>
      </w:r>
      <w:r>
        <w:rPr/>
        <w:t>peut être interprétée comme un axe de conjoncture écono- mique opposant, d’un côté, des situations relativement favorables (PIB_cat_élevé et cho- </w:t>
      </w:r>
      <w:r>
        <w:rPr>
          <w:w w:val="110"/>
        </w:rPr>
        <w:t>mage_cat_moyen,</w:t>
      </w:r>
      <w:r>
        <w:rPr>
          <w:spacing w:val="-8"/>
          <w:w w:val="110"/>
        </w:rPr>
        <w:t> </w:t>
      </w:r>
      <w:r>
        <w:rPr>
          <w:w w:val="110"/>
        </w:rPr>
        <w:t>inflation_cat_moyenne)</w:t>
      </w:r>
      <w:r>
        <w:rPr>
          <w:spacing w:val="-8"/>
          <w:w w:val="110"/>
        </w:rPr>
        <w:t> </w:t>
      </w:r>
      <w:r>
        <w:rPr>
          <w:w w:val="110"/>
        </w:rPr>
        <w:t>et,</w:t>
      </w:r>
      <w:r>
        <w:rPr>
          <w:spacing w:val="-8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l’autre,</w:t>
      </w:r>
      <w:r>
        <w:rPr>
          <w:spacing w:val="-8"/>
          <w:w w:val="110"/>
        </w:rPr>
        <w:t> </w:t>
      </w:r>
      <w:r>
        <w:rPr>
          <w:w w:val="110"/>
        </w:rPr>
        <w:t>des</w:t>
      </w:r>
      <w:r>
        <w:rPr>
          <w:spacing w:val="-8"/>
          <w:w w:val="110"/>
        </w:rPr>
        <w:t> </w:t>
      </w:r>
      <w:r>
        <w:rPr>
          <w:w w:val="110"/>
        </w:rPr>
        <w:t>situations</w:t>
      </w:r>
      <w:r>
        <w:rPr>
          <w:spacing w:val="-8"/>
          <w:w w:val="110"/>
        </w:rPr>
        <w:t> </w:t>
      </w:r>
      <w:r>
        <w:rPr>
          <w:w w:val="110"/>
        </w:rPr>
        <w:t>plus</w:t>
      </w:r>
      <w:r>
        <w:rPr>
          <w:spacing w:val="-8"/>
          <w:w w:val="110"/>
        </w:rPr>
        <w:t> </w:t>
      </w:r>
      <w:r>
        <w:rPr>
          <w:w w:val="110"/>
        </w:rPr>
        <w:t>dégradées (inflation_cat_haute</w:t>
      </w:r>
      <w:r>
        <w:rPr>
          <w:spacing w:val="-3"/>
          <w:w w:val="110"/>
        </w:rPr>
        <w:t> </w:t>
      </w:r>
      <w:r>
        <w:rPr>
          <w:w w:val="110"/>
        </w:rPr>
        <w:t>et</w:t>
      </w:r>
      <w:r>
        <w:rPr>
          <w:spacing w:val="-2"/>
          <w:w w:val="110"/>
        </w:rPr>
        <w:t> </w:t>
      </w:r>
      <w:r>
        <w:rPr>
          <w:w w:val="110"/>
        </w:rPr>
        <w:t>chômage_cat_élevé,</w:t>
      </w:r>
      <w:r>
        <w:rPr>
          <w:spacing w:val="-2"/>
          <w:w w:val="110"/>
        </w:rPr>
        <w:t> </w:t>
      </w:r>
      <w:r>
        <w:rPr>
          <w:w w:val="110"/>
        </w:rPr>
        <w:t>PIB_cat_faible</w:t>
      </w:r>
      <w:r>
        <w:rPr>
          <w:spacing w:val="-2"/>
          <w:w w:val="110"/>
        </w:rPr>
        <w:t> </w:t>
      </w:r>
      <w:r>
        <w:rPr>
          <w:w w:val="110"/>
        </w:rPr>
        <w:t>et</w:t>
      </w:r>
      <w:r>
        <w:rPr>
          <w:spacing w:val="-2"/>
          <w:w w:val="110"/>
        </w:rPr>
        <w:t> </w:t>
      </w:r>
      <w:r>
        <w:rPr>
          <w:w w:val="110"/>
        </w:rPr>
        <w:t>MASI_cat_moyen).</w:t>
      </w:r>
      <w:r>
        <w:rPr>
          <w:spacing w:val="-2"/>
          <w:w w:val="110"/>
        </w:rPr>
        <w:t> </w:t>
      </w:r>
      <w:r>
        <w:rPr>
          <w:rFonts w:ascii="Arial" w:hAnsi="Arial"/>
          <w:b/>
          <w:i/>
          <w:spacing w:val="-5"/>
          <w:w w:val="110"/>
        </w:rPr>
        <w:t>La</w:t>
      </w:r>
    </w:p>
    <w:p>
      <w:pPr>
        <w:pStyle w:val="BodyText"/>
        <w:spacing w:after="0" w:line="307" w:lineRule="auto"/>
        <w:jc w:val="both"/>
        <w:rPr>
          <w:rFonts w:ascii="Arial" w:hAnsi="Arial"/>
          <w:b/>
          <w:i/>
        </w:rPr>
        <w:sectPr>
          <w:pgSz w:w="11910" w:h="16840"/>
          <w:pgMar w:header="657" w:footer="0" w:top="1340" w:bottom="280" w:left="1275" w:right="566"/>
        </w:sectPr>
      </w:pPr>
    </w:p>
    <w:p>
      <w:pPr>
        <w:pStyle w:val="BodyText"/>
        <w:spacing w:before="86"/>
        <w:ind w:left="142"/>
      </w:pPr>
      <w:r>
        <w:rPr>
          <w:rFonts w:ascii="Arial" w:hAnsi="Arial"/>
          <w:b/>
          <w:i/>
        </w:rPr>
        <w:t>dimension</w:t>
      </w:r>
      <w:r>
        <w:rPr>
          <w:rFonts w:ascii="Arial" w:hAnsi="Arial"/>
          <w:b/>
          <w:i/>
          <w:spacing w:val="29"/>
        </w:rPr>
        <w:t> </w:t>
      </w:r>
      <w:r>
        <w:rPr>
          <w:rFonts w:ascii="Calibri" w:hAnsi="Calibri"/>
        </w:rPr>
        <w:t>2</w:t>
      </w:r>
      <w:r>
        <w:rPr>
          <w:rFonts w:ascii="Calibri" w:hAnsi="Calibri"/>
          <w:spacing w:val="32"/>
        </w:rPr>
        <w:t>  </w:t>
      </w:r>
      <w:r>
        <w:rPr/>
        <w:t>semble</w:t>
      </w:r>
      <w:r>
        <w:rPr>
          <w:spacing w:val="15"/>
        </w:rPr>
        <w:t> </w:t>
      </w:r>
      <w:r>
        <w:rPr/>
        <w:t>traduire</w:t>
      </w:r>
      <w:r>
        <w:rPr>
          <w:spacing w:val="15"/>
        </w:rPr>
        <w:t> </w:t>
      </w:r>
      <w:r>
        <w:rPr/>
        <w:t>un</w:t>
      </w:r>
      <w:r>
        <w:rPr>
          <w:spacing w:val="15"/>
        </w:rPr>
        <w:t> </w:t>
      </w:r>
      <w:r>
        <w:rPr/>
        <w:t>axe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tension</w:t>
      </w:r>
      <w:r>
        <w:rPr>
          <w:spacing w:val="16"/>
        </w:rPr>
        <w:t> </w:t>
      </w:r>
      <w:r>
        <w:rPr/>
        <w:t>socio-économique,</w:t>
      </w:r>
      <w:r>
        <w:rPr>
          <w:spacing w:val="15"/>
        </w:rPr>
        <w:t> </w:t>
      </w:r>
      <w:r>
        <w:rPr/>
        <w:t>opposant</w:t>
      </w:r>
      <w:r>
        <w:rPr>
          <w:spacing w:val="15"/>
        </w:rPr>
        <w:t> </w:t>
      </w:r>
      <w:r>
        <w:rPr/>
        <w:t>des</w:t>
      </w:r>
      <w:r>
        <w:rPr>
          <w:spacing w:val="15"/>
        </w:rPr>
        <w:t> </w:t>
      </w:r>
      <w:r>
        <w:rPr>
          <w:spacing w:val="-2"/>
        </w:rPr>
        <w:t>configu-</w:t>
      </w:r>
    </w:p>
    <w:p>
      <w:pPr>
        <w:pStyle w:val="BodyText"/>
        <w:spacing w:line="312" w:lineRule="auto" w:before="70"/>
        <w:ind w:left="142" w:right="195"/>
      </w:pPr>
      <w:r>
        <w:rPr/>
        <w:t>rations</w:t>
      </w:r>
      <w:r>
        <w:rPr>
          <w:spacing w:val="39"/>
        </w:rPr>
        <w:t> </w:t>
      </w:r>
      <w:r>
        <w:rPr/>
        <w:t>marquées</w:t>
      </w:r>
      <w:r>
        <w:rPr>
          <w:spacing w:val="39"/>
        </w:rPr>
        <w:t> </w:t>
      </w:r>
      <w:r>
        <w:rPr/>
        <w:t>par</w:t>
      </w:r>
      <w:r>
        <w:rPr>
          <w:spacing w:val="39"/>
        </w:rPr>
        <w:t> </w:t>
      </w:r>
      <w:r>
        <w:rPr/>
        <w:t>une</w:t>
      </w:r>
      <w:r>
        <w:rPr>
          <w:spacing w:val="37"/>
        </w:rPr>
        <w:t> </w:t>
      </w:r>
      <w:r>
        <w:rPr/>
        <w:t>forte</w:t>
      </w:r>
      <w:r>
        <w:rPr>
          <w:spacing w:val="39"/>
        </w:rPr>
        <w:t> </w:t>
      </w:r>
      <w:r>
        <w:rPr/>
        <w:t>pression</w:t>
      </w:r>
      <w:r>
        <w:rPr>
          <w:spacing w:val="37"/>
        </w:rPr>
        <w:t> </w:t>
      </w:r>
      <w:r>
        <w:rPr/>
        <w:t>économique</w:t>
      </w:r>
      <w:r>
        <w:rPr>
          <w:spacing w:val="39"/>
        </w:rPr>
        <w:t> </w:t>
      </w:r>
      <w:r>
        <w:rPr/>
        <w:t>(inflation_cat_haute</w:t>
      </w:r>
      <w:r>
        <w:rPr>
          <w:spacing w:val="37"/>
        </w:rPr>
        <w:t> </w:t>
      </w:r>
      <w:r>
        <w:rPr/>
        <w:t>et</w:t>
      </w:r>
      <w:r>
        <w:rPr>
          <w:spacing w:val="39"/>
        </w:rPr>
        <w:t> </w:t>
      </w:r>
      <w:r>
        <w:rPr/>
        <w:t>chômage_cat_élevé)</w:t>
      </w:r>
      <w:r>
        <w:rPr>
          <w:spacing w:val="80"/>
          <w:w w:val="150"/>
        </w:rPr>
        <w:t> </w:t>
      </w:r>
      <w:r>
        <w:rPr>
          <w:w w:val="110"/>
        </w:rPr>
        <w:t>à des situations plus stables.</w:t>
      </w:r>
    </w:p>
    <w:p>
      <w:pPr>
        <w:pStyle w:val="BodyText"/>
        <w:spacing w:line="300" w:lineRule="auto"/>
        <w:ind w:left="142" w:right="472"/>
      </w:pPr>
      <w:r>
        <w:rPr/>
        <w:t>La projection des années met en évidence plusieurs périodes distinctes : les années </w:t>
      </w:r>
      <w:r>
        <w:rPr>
          <w:rFonts w:ascii="Calibri" w:hAnsi="Calibri"/>
        </w:rPr>
        <w:t>2002˘2006 </w:t>
      </w:r>
      <w:r>
        <w:rPr>
          <w:w w:val="105"/>
        </w:rPr>
        <w:t>présentent un profil proche et relativement homogène et plus favorable, tandis que les an- nées autour de </w:t>
      </w:r>
      <w:r>
        <w:rPr>
          <w:rFonts w:ascii="Calibri" w:hAnsi="Calibri"/>
          <w:w w:val="105"/>
        </w:rPr>
        <w:t>2008 </w:t>
      </w:r>
      <w:r>
        <w:rPr>
          <w:w w:val="105"/>
        </w:rPr>
        <w:t>se distinguent, ce qui peut être relié à l’impact de la crise financière internationale.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même,</w:t>
      </w:r>
      <w:r>
        <w:rPr>
          <w:spacing w:val="-2"/>
          <w:w w:val="105"/>
        </w:rPr>
        <w:t> </w: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années</w:t>
      </w:r>
      <w:r>
        <w:rPr>
          <w:spacing w:val="-2"/>
          <w:w w:val="105"/>
        </w:rPr>
        <w:t> </w:t>
      </w:r>
      <w:r>
        <w:rPr>
          <w:rFonts w:ascii="Calibri" w:hAnsi="Calibri"/>
          <w:w w:val="105"/>
        </w:rPr>
        <w:t>2020˘2023 </w:t>
      </w:r>
      <w:r>
        <w:rPr>
          <w:w w:val="105"/>
        </w:rPr>
        <w:t>forment</w:t>
      </w:r>
      <w:r>
        <w:rPr>
          <w:spacing w:val="-2"/>
          <w:w w:val="105"/>
        </w:rPr>
        <w:t> </w:t>
      </w:r>
      <w:r>
        <w:rPr>
          <w:w w:val="105"/>
        </w:rPr>
        <w:t>un</w:t>
      </w:r>
      <w:r>
        <w:rPr>
          <w:spacing w:val="-2"/>
          <w:w w:val="105"/>
        </w:rPr>
        <w:t> </w:t>
      </w:r>
      <w:r>
        <w:rPr>
          <w:w w:val="105"/>
        </w:rPr>
        <w:t>groupe</w:t>
      </w:r>
      <w:r>
        <w:rPr>
          <w:spacing w:val="-2"/>
          <w:w w:val="105"/>
        </w:rPr>
        <w:t> </w:t>
      </w:r>
      <w:r>
        <w:rPr>
          <w:w w:val="105"/>
        </w:rPr>
        <w:t>spécifique,</w:t>
      </w:r>
      <w:r>
        <w:rPr>
          <w:spacing w:val="-2"/>
          <w:w w:val="105"/>
        </w:rPr>
        <w:t> </w:t>
      </w:r>
      <w:r>
        <w:rPr>
          <w:w w:val="105"/>
        </w:rPr>
        <w:t>associé</w:t>
      </w:r>
      <w:r>
        <w:rPr>
          <w:spacing w:val="-2"/>
          <w:w w:val="105"/>
        </w:rPr>
        <w:t> </w:t>
      </w:r>
      <w:r>
        <w:rPr>
          <w:w w:val="105"/>
        </w:rPr>
        <w:t>à</w:t>
      </w:r>
      <w:r>
        <w:rPr>
          <w:spacing w:val="-2"/>
          <w:w w:val="105"/>
        </w:rPr>
        <w:t> </w:t>
      </w:r>
      <w:r>
        <w:rPr>
          <w:w w:val="105"/>
        </w:rPr>
        <w:t>un</w:t>
      </w:r>
    </w:p>
    <w:p>
      <w:pPr>
        <w:pStyle w:val="BodyText"/>
        <w:spacing w:line="325" w:lineRule="exact"/>
        <w:ind w:left="142"/>
      </w:pPr>
      <w:r>
        <w:rPr>
          <w:w w:val="105"/>
        </w:rPr>
        <w:t>contexte</w:t>
      </w:r>
      <w:r>
        <w:rPr>
          <w:spacing w:val="1"/>
          <w:w w:val="105"/>
        </w:rPr>
        <w:t> </w:t>
      </w:r>
      <w:r>
        <w:rPr>
          <w:w w:val="105"/>
        </w:rPr>
        <w:t>plus</w:t>
      </w:r>
      <w:r>
        <w:rPr>
          <w:spacing w:val="3"/>
          <w:w w:val="105"/>
        </w:rPr>
        <w:t> </w:t>
      </w:r>
      <w:r>
        <w:rPr>
          <w:w w:val="105"/>
        </w:rPr>
        <w:t>tendu</w:t>
      </w:r>
      <w:r>
        <w:rPr>
          <w:spacing w:val="2"/>
          <w:w w:val="105"/>
        </w:rPr>
        <w:t> </w:t>
      </w:r>
      <w:r>
        <w:rPr>
          <w:w w:val="105"/>
        </w:rPr>
        <w:t>marqué</w:t>
      </w:r>
      <w:r>
        <w:rPr>
          <w:spacing w:val="3"/>
          <w:w w:val="105"/>
        </w:rPr>
        <w:t> </w:t>
      </w:r>
      <w:r>
        <w:rPr>
          <w:w w:val="105"/>
        </w:rPr>
        <w:t>par</w:t>
      </w:r>
      <w:r>
        <w:rPr>
          <w:spacing w:val="2"/>
          <w:w w:val="105"/>
        </w:rPr>
        <w:t> </w:t>
      </w:r>
      <w:r>
        <w:rPr>
          <w:w w:val="105"/>
        </w:rPr>
        <w:t>la</w:t>
      </w:r>
      <w:r>
        <w:rPr>
          <w:spacing w:val="2"/>
          <w:w w:val="105"/>
        </w:rPr>
        <w:t> </w:t>
      </w:r>
      <w:r>
        <w:rPr>
          <w:w w:val="105"/>
        </w:rPr>
        <w:t>crise</w:t>
      </w:r>
      <w:r>
        <w:rPr>
          <w:spacing w:val="3"/>
          <w:w w:val="105"/>
        </w:rPr>
        <w:t> </w:t>
      </w:r>
      <w:r>
        <w:rPr>
          <w:w w:val="105"/>
        </w:rPr>
        <w:t>du</w:t>
      </w:r>
      <w:r>
        <w:rPr>
          <w:spacing w:val="2"/>
          <w:w w:val="105"/>
        </w:rPr>
        <w:t> </w:t>
      </w:r>
      <w:r>
        <w:rPr>
          <w:rFonts w:ascii="Calibri" w:hAnsi="Calibri"/>
          <w:i/>
          <w:w w:val="105"/>
        </w:rPr>
        <w:t>Covid</w:t>
      </w:r>
      <w:r>
        <w:rPr>
          <w:rFonts w:ascii="Calibri" w:hAnsi="Calibri"/>
          <w:i/>
          <w:spacing w:val="-27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49"/>
          <w:w w:val="105"/>
        </w:rPr>
        <w:t> </w:t>
      </w:r>
      <w:r>
        <w:rPr>
          <w:rFonts w:ascii="Calibri" w:hAnsi="Calibri"/>
          <w:w w:val="105"/>
        </w:rPr>
        <w:t>19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montrant</w:t>
      </w:r>
      <w:r>
        <w:rPr>
          <w:spacing w:val="2"/>
          <w:w w:val="105"/>
        </w:rPr>
        <w:t> </w:t>
      </w:r>
      <w:r>
        <w:rPr>
          <w:w w:val="105"/>
        </w:rPr>
        <w:t>ainsi</w:t>
      </w:r>
      <w:r>
        <w:rPr>
          <w:spacing w:val="3"/>
          <w:w w:val="105"/>
        </w:rPr>
        <w:t> </w:t>
      </w:r>
      <w:r>
        <w:rPr>
          <w:w w:val="105"/>
        </w:rPr>
        <w:t>que</w:t>
      </w:r>
      <w:r>
        <w:rPr>
          <w:spacing w:val="2"/>
          <w:w w:val="105"/>
        </w:rPr>
        <w:t> </w:t>
      </w:r>
      <w:r>
        <w:rPr>
          <w:w w:val="105"/>
        </w:rPr>
        <w:t>l’ACM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permet</w:t>
      </w:r>
    </w:p>
    <w:p>
      <w:pPr>
        <w:pStyle w:val="BodyText"/>
        <w:spacing w:before="24"/>
        <w:ind w:left="142"/>
      </w:pPr>
      <w:bookmarkStart w:name="Comparaison" w:id="21"/>
      <w:bookmarkEnd w:id="21"/>
      <w:r>
        <w:rPr/>
      </w:r>
      <w:r>
        <w:rPr/>
        <w:t>d’identifier</w:t>
      </w:r>
      <w:r>
        <w:rPr>
          <w:spacing w:val="28"/>
        </w:rPr>
        <w:t> </w:t>
      </w:r>
      <w:r>
        <w:rPr/>
        <w:t>différents</w:t>
      </w:r>
      <w:r>
        <w:rPr>
          <w:spacing w:val="30"/>
        </w:rPr>
        <w:t> </w:t>
      </w:r>
      <w:r>
        <w:rPr/>
        <w:t>régimes</w:t>
      </w:r>
      <w:r>
        <w:rPr>
          <w:spacing w:val="29"/>
        </w:rPr>
        <w:t> </w:t>
      </w:r>
      <w:r>
        <w:rPr/>
        <w:t>économiques</w:t>
      </w:r>
      <w:r>
        <w:rPr>
          <w:spacing w:val="29"/>
        </w:rPr>
        <w:t> </w:t>
      </w:r>
      <w:r>
        <w:rPr/>
        <w:t>et</w:t>
      </w:r>
      <w:r>
        <w:rPr>
          <w:spacing w:val="28"/>
        </w:rPr>
        <w:t> </w:t>
      </w:r>
      <w:r>
        <w:rPr/>
        <w:t>les</w:t>
      </w:r>
      <w:r>
        <w:rPr>
          <w:spacing w:val="30"/>
        </w:rPr>
        <w:t> </w:t>
      </w:r>
      <w:r>
        <w:rPr/>
        <w:t>ruptures</w:t>
      </w:r>
      <w:r>
        <w:rPr>
          <w:spacing w:val="28"/>
        </w:rPr>
        <w:t> </w:t>
      </w:r>
      <w:r>
        <w:rPr/>
        <w:t>liées</w:t>
      </w:r>
      <w:r>
        <w:rPr>
          <w:spacing w:val="29"/>
        </w:rPr>
        <w:t> </w:t>
      </w:r>
      <w:r>
        <w:rPr/>
        <w:t>aux</w:t>
      </w:r>
      <w:r>
        <w:rPr>
          <w:spacing w:val="29"/>
        </w:rPr>
        <w:t> </w:t>
      </w:r>
      <w:r>
        <w:rPr/>
        <w:t>chocs</w:t>
      </w:r>
      <w:r>
        <w:rPr>
          <w:spacing w:val="29"/>
        </w:rPr>
        <w:t> </w:t>
      </w:r>
      <w:r>
        <w:rPr>
          <w:spacing w:val="-2"/>
        </w:rPr>
        <w:t>majeurs.</w:t>
      </w:r>
    </w:p>
    <w:p>
      <w:pPr>
        <w:pStyle w:val="BodyText"/>
        <w:spacing w:before="195"/>
      </w:pPr>
    </w:p>
    <w:p>
      <w:pPr>
        <w:pStyle w:val="Heading2"/>
        <w:numPr>
          <w:ilvl w:val="1"/>
          <w:numId w:val="1"/>
        </w:numPr>
        <w:tabs>
          <w:tab w:pos="860" w:val="left" w:leader="none"/>
        </w:tabs>
        <w:spacing w:line="240" w:lineRule="auto" w:before="0" w:after="0"/>
        <w:ind w:left="860" w:right="0" w:hanging="718"/>
        <w:jc w:val="left"/>
      </w:pPr>
      <w:r>
        <w:rPr>
          <w:color w:val="000066"/>
          <w:spacing w:val="-2"/>
        </w:rPr>
        <w:t>Comparaison</w:t>
      </w:r>
    </w:p>
    <w:p>
      <w:pPr>
        <w:pStyle w:val="Heading3"/>
        <w:numPr>
          <w:ilvl w:val="2"/>
          <w:numId w:val="1"/>
        </w:numPr>
        <w:tabs>
          <w:tab w:pos="964" w:val="left" w:leader="none"/>
        </w:tabs>
        <w:spacing w:line="240" w:lineRule="auto" w:before="278" w:after="0"/>
        <w:ind w:left="964" w:right="0" w:hanging="822"/>
        <w:jc w:val="left"/>
      </w:pPr>
      <w:bookmarkStart w:name="Comparaison méthodologique : ACP vs ACM" w:id="22"/>
      <w:bookmarkEnd w:id="22"/>
      <w:r>
        <w:rPr>
          <w:b w:val="0"/>
        </w:rPr>
      </w:r>
      <w:r>
        <w:rPr>
          <w:spacing w:val="-6"/>
        </w:rPr>
        <w:t>Comparaison</w:t>
      </w:r>
      <w:r>
        <w:rPr>
          <w:spacing w:val="7"/>
        </w:rPr>
        <w:t> </w:t>
      </w:r>
      <w:r>
        <w:rPr>
          <w:spacing w:val="-6"/>
        </w:rPr>
        <w:t>méthodologique</w:t>
      </w:r>
      <w:r>
        <w:rPr>
          <w:spacing w:val="8"/>
        </w:rPr>
        <w:t> </w:t>
      </w:r>
      <w:r>
        <w:rPr>
          <w:spacing w:val="-6"/>
        </w:rPr>
        <w:t>:</w:t>
      </w:r>
      <w:r>
        <w:rPr>
          <w:spacing w:val="7"/>
        </w:rPr>
        <w:t> </w:t>
      </w:r>
      <w:r>
        <w:rPr>
          <w:spacing w:val="-6"/>
        </w:rPr>
        <w:t>ACP</w:t>
      </w:r>
      <w:r>
        <w:rPr>
          <w:spacing w:val="8"/>
        </w:rPr>
        <w:t> </w:t>
      </w:r>
      <w:r>
        <w:rPr>
          <w:spacing w:val="-6"/>
        </w:rPr>
        <w:t>vs</w:t>
      </w:r>
      <w:r>
        <w:rPr>
          <w:spacing w:val="7"/>
        </w:rPr>
        <w:t> </w:t>
      </w:r>
      <w:r>
        <w:rPr>
          <w:spacing w:val="-6"/>
        </w:rPr>
        <w:t>ACM</w:t>
      </w:r>
    </w:p>
    <w:p>
      <w:pPr>
        <w:pStyle w:val="BodyText"/>
        <w:spacing w:line="312" w:lineRule="auto" w:before="236"/>
        <w:ind w:left="142" w:right="849" w:firstLine="351"/>
        <w:jc w:val="both"/>
      </w:pPr>
      <w:r>
        <w:rPr>
          <w:w w:val="105"/>
        </w:rPr>
        <w:t>Le</w:t>
      </w:r>
      <w:r>
        <w:rPr>
          <w:spacing w:val="-7"/>
          <w:w w:val="105"/>
        </w:rPr>
        <w:t> </w:t>
      </w:r>
      <w:r>
        <w:rPr>
          <w:w w:val="105"/>
        </w:rPr>
        <w:t>rapport</w:t>
      </w:r>
      <w:r>
        <w:rPr>
          <w:spacing w:val="-7"/>
          <w:w w:val="105"/>
        </w:rPr>
        <w:t> </w:t>
      </w:r>
      <w:r>
        <w:rPr>
          <w:w w:val="105"/>
        </w:rPr>
        <w:t>souligne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l’Analyse</w:t>
      </w:r>
      <w:r>
        <w:rPr>
          <w:spacing w:val="-7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Composantes</w:t>
      </w:r>
      <w:r>
        <w:rPr>
          <w:spacing w:val="-7"/>
          <w:w w:val="105"/>
        </w:rPr>
        <w:t> </w:t>
      </w:r>
      <w:r>
        <w:rPr>
          <w:w w:val="105"/>
        </w:rPr>
        <w:t>Principales</w:t>
      </w:r>
      <w:r>
        <w:rPr>
          <w:spacing w:val="-7"/>
          <w:w w:val="105"/>
        </w:rPr>
        <w:t> </w:t>
      </w:r>
      <w:r>
        <w:rPr>
          <w:w w:val="105"/>
        </w:rPr>
        <w:t>(ACP)</w:t>
      </w:r>
      <w:r>
        <w:rPr>
          <w:spacing w:val="-7"/>
          <w:w w:val="105"/>
        </w:rPr>
        <w:t> </w:t>
      </w:r>
      <w:r>
        <w:rPr>
          <w:w w:val="105"/>
        </w:rPr>
        <w:t>et</w:t>
      </w:r>
      <w:r>
        <w:rPr>
          <w:spacing w:val="-7"/>
          <w:w w:val="105"/>
        </w:rPr>
        <w:t> </w:t>
      </w:r>
      <w:r>
        <w:rPr>
          <w:w w:val="105"/>
        </w:rPr>
        <w:t>l’Analyse</w:t>
      </w:r>
      <w:r>
        <w:rPr>
          <w:spacing w:val="-7"/>
          <w:w w:val="105"/>
        </w:rPr>
        <w:t> </w:t>
      </w:r>
      <w:r>
        <w:rPr>
          <w:w w:val="105"/>
        </w:rPr>
        <w:t>des Correspondances</w:t>
      </w:r>
      <w:r>
        <w:rPr>
          <w:spacing w:val="-12"/>
          <w:w w:val="105"/>
        </w:rPr>
        <w:t> </w:t>
      </w:r>
      <w:r>
        <w:rPr>
          <w:w w:val="105"/>
        </w:rPr>
        <w:t>Multiples</w:t>
      </w:r>
      <w:r>
        <w:rPr>
          <w:spacing w:val="-12"/>
          <w:w w:val="105"/>
        </w:rPr>
        <w:t> </w:t>
      </w:r>
      <w:r>
        <w:rPr>
          <w:w w:val="105"/>
        </w:rPr>
        <w:t>(ACM)</w:t>
      </w:r>
      <w:r>
        <w:rPr>
          <w:spacing w:val="-12"/>
          <w:w w:val="105"/>
        </w:rPr>
        <w:t> </w:t>
      </w:r>
      <w:r>
        <w:rPr>
          <w:w w:val="105"/>
        </w:rPr>
        <w:t>ne</w:t>
      </w:r>
      <w:r>
        <w:rPr>
          <w:spacing w:val="-12"/>
          <w:w w:val="105"/>
        </w:rPr>
        <w:t> </w:t>
      </w:r>
      <w:r>
        <w:rPr>
          <w:w w:val="105"/>
        </w:rPr>
        <w:t>s’opposent</w:t>
      </w:r>
      <w:r>
        <w:rPr>
          <w:spacing w:val="-12"/>
          <w:w w:val="105"/>
        </w:rPr>
        <w:t> </w:t>
      </w:r>
      <w:r>
        <w:rPr>
          <w:w w:val="105"/>
        </w:rPr>
        <w:t>pas,</w:t>
      </w:r>
      <w:r>
        <w:rPr>
          <w:spacing w:val="-12"/>
          <w:w w:val="105"/>
        </w:rPr>
        <w:t> </w:t>
      </w:r>
      <w:r>
        <w:rPr>
          <w:w w:val="105"/>
        </w:rPr>
        <w:t>mais</w:t>
      </w:r>
      <w:r>
        <w:rPr>
          <w:spacing w:val="-12"/>
          <w:w w:val="105"/>
        </w:rPr>
        <w:t> </w:t>
      </w:r>
      <w:r>
        <w:rPr>
          <w:w w:val="105"/>
        </w:rPr>
        <w:t>se</w:t>
      </w:r>
      <w:r>
        <w:rPr>
          <w:spacing w:val="-12"/>
          <w:w w:val="105"/>
        </w:rPr>
        <w:t> </w:t>
      </w:r>
      <w:r>
        <w:rPr>
          <w:w w:val="105"/>
        </w:rPr>
        <w:t>complètent</w:t>
      </w:r>
      <w:r>
        <w:rPr>
          <w:spacing w:val="-12"/>
          <w:w w:val="105"/>
        </w:rPr>
        <w:t> </w:t>
      </w:r>
      <w:r>
        <w:rPr>
          <w:w w:val="105"/>
        </w:rPr>
        <w:t>afin</w:t>
      </w:r>
      <w:r>
        <w:rPr>
          <w:spacing w:val="-12"/>
          <w:w w:val="105"/>
        </w:rPr>
        <w:t> </w:t>
      </w:r>
      <w:r>
        <w:rPr>
          <w:w w:val="105"/>
        </w:rPr>
        <w:t>d’offrir</w:t>
      </w:r>
      <w:r>
        <w:rPr>
          <w:spacing w:val="-12"/>
          <w:w w:val="105"/>
        </w:rPr>
        <w:t> </w:t>
      </w:r>
      <w:r>
        <w:rPr>
          <w:w w:val="105"/>
        </w:rPr>
        <w:t>une vision globale des dynamiques économiques étudiées.</w:t>
      </w:r>
    </w:p>
    <w:p>
      <w:pPr>
        <w:pStyle w:val="Heading3"/>
        <w:numPr>
          <w:ilvl w:val="3"/>
          <w:numId w:val="1"/>
        </w:numPr>
        <w:tabs>
          <w:tab w:pos="727" w:val="left" w:leader="none"/>
        </w:tabs>
        <w:spacing w:line="240" w:lineRule="auto" w:before="123" w:after="0"/>
        <w:ind w:left="727" w:right="0" w:hanging="351"/>
        <w:jc w:val="left"/>
      </w:pPr>
      <w:r>
        <w:rPr>
          <w:spacing w:val="-8"/>
        </w:rPr>
        <w:t>Nature</w:t>
      </w:r>
      <w:r>
        <w:rPr>
          <w:spacing w:val="1"/>
        </w:rPr>
        <w:t> </w:t>
      </w:r>
      <w:r>
        <w:rPr>
          <w:spacing w:val="-8"/>
        </w:rPr>
        <w:t>des</w:t>
      </w:r>
      <w:r>
        <w:rPr>
          <w:spacing w:val="1"/>
        </w:rPr>
        <w:t> </w:t>
      </w:r>
      <w:r>
        <w:rPr>
          <w:spacing w:val="-8"/>
        </w:rPr>
        <w:t>données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4"/>
          <w:numId w:val="1"/>
        </w:numPr>
        <w:tabs>
          <w:tab w:pos="1242" w:val="left" w:leader="none"/>
        </w:tabs>
        <w:spacing w:line="240" w:lineRule="auto" w:before="164" w:after="0"/>
        <w:ind w:left="1242" w:right="0" w:hanging="351"/>
        <w:jc w:val="left"/>
        <w:rPr>
          <w:sz w:val="24"/>
        </w:rPr>
      </w:pPr>
      <w:r>
        <w:rPr>
          <w:spacing w:val="-2"/>
          <w:w w:val="110"/>
          <w:sz w:val="24"/>
        </w:rPr>
        <w:t>L’ACP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traite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les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variables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quantitatives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(taux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d’intérêt,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croissance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du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PIB</w:t>
      </w:r>
      <w:r>
        <w:rPr>
          <w:spacing w:val="-4"/>
          <w:w w:val="110"/>
          <w:sz w:val="24"/>
        </w:rPr>
        <w:t> </w:t>
      </w:r>
      <w:r>
        <w:rPr>
          <w:spacing w:val="-5"/>
          <w:w w:val="110"/>
          <w:sz w:val="24"/>
        </w:rPr>
        <w:t>en</w:t>
      </w:r>
    </w:p>
    <w:p>
      <w:pPr>
        <w:pStyle w:val="BodyText"/>
        <w:spacing w:line="312" w:lineRule="auto" w:before="83"/>
        <w:ind w:left="1242" w:right="775"/>
      </w:pPr>
      <w:r>
        <w:rPr/>
        <w:t>%, inflation). Elle permet d’identifier les principaux leviers macroéconomiques</w:t>
      </w:r>
      <w:r>
        <w:rPr>
          <w:spacing w:val="80"/>
        </w:rPr>
        <w:t> </w:t>
      </w:r>
      <w:r>
        <w:rPr/>
        <w:t>influençant le marché boursier.</w:t>
      </w:r>
    </w:p>
    <w:p>
      <w:pPr>
        <w:pStyle w:val="ListParagraph"/>
        <w:numPr>
          <w:ilvl w:val="4"/>
          <w:numId w:val="1"/>
        </w:numPr>
        <w:tabs>
          <w:tab w:pos="1242" w:val="left" w:leader="none"/>
        </w:tabs>
        <w:spacing w:line="312" w:lineRule="auto" w:before="40" w:after="0"/>
        <w:ind w:left="1242" w:right="849" w:hanging="352"/>
        <w:jc w:val="left"/>
        <w:rPr>
          <w:sz w:val="24"/>
        </w:rPr>
      </w:pPr>
      <w:r>
        <w:rPr>
          <w:sz w:val="24"/>
        </w:rPr>
        <w:t>L’ACM traite les variables qualitatives (catégorisées en “faible”, “moyen”, “éle- vé”).</w:t>
      </w:r>
      <w:r>
        <w:rPr>
          <w:spacing w:val="36"/>
          <w:sz w:val="24"/>
        </w:rPr>
        <w:t> </w:t>
      </w:r>
      <w:r>
        <w:rPr>
          <w:sz w:val="24"/>
        </w:rPr>
        <w:t>Elle</w:t>
      </w:r>
      <w:r>
        <w:rPr>
          <w:spacing w:val="36"/>
          <w:sz w:val="24"/>
        </w:rPr>
        <w:t> </w:t>
      </w:r>
      <w:r>
        <w:rPr>
          <w:sz w:val="24"/>
        </w:rPr>
        <w:t>permet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définir</w:t>
      </w:r>
      <w:r>
        <w:rPr>
          <w:spacing w:val="38"/>
          <w:sz w:val="24"/>
        </w:rPr>
        <w:t> </w:t>
      </w:r>
      <w:r>
        <w:rPr>
          <w:sz w:val="24"/>
        </w:rPr>
        <w:t>des</w:t>
      </w:r>
      <w:r>
        <w:rPr>
          <w:spacing w:val="36"/>
          <w:sz w:val="24"/>
        </w:rPr>
        <w:t> </w:t>
      </w:r>
      <w:r>
        <w:rPr>
          <w:sz w:val="24"/>
        </w:rPr>
        <w:t>profils</w:t>
      </w:r>
      <w:r>
        <w:rPr>
          <w:spacing w:val="36"/>
          <w:sz w:val="24"/>
        </w:rPr>
        <w:t> </w:t>
      </w:r>
      <w:r>
        <w:rPr>
          <w:sz w:val="24"/>
        </w:rPr>
        <w:t>ou</w:t>
      </w:r>
      <w:r>
        <w:rPr>
          <w:spacing w:val="38"/>
          <w:sz w:val="24"/>
        </w:rPr>
        <w:t> </w:t>
      </w:r>
      <w:r>
        <w:rPr>
          <w:sz w:val="24"/>
        </w:rPr>
        <w:t>des</w:t>
      </w:r>
      <w:r>
        <w:rPr>
          <w:spacing w:val="36"/>
          <w:sz w:val="24"/>
        </w:rPr>
        <w:t> </w:t>
      </w:r>
      <w:r>
        <w:rPr>
          <w:sz w:val="24"/>
        </w:rPr>
        <w:t>types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périodes</w:t>
      </w:r>
      <w:r>
        <w:rPr>
          <w:spacing w:val="38"/>
          <w:sz w:val="24"/>
        </w:rPr>
        <w:t> </w:t>
      </w:r>
      <w:r>
        <w:rPr>
          <w:sz w:val="24"/>
        </w:rPr>
        <w:t>économiques.</w:t>
      </w:r>
    </w:p>
    <w:p>
      <w:pPr>
        <w:pStyle w:val="Heading3"/>
        <w:numPr>
          <w:ilvl w:val="3"/>
          <w:numId w:val="1"/>
        </w:numPr>
        <w:tabs>
          <w:tab w:pos="727" w:val="left" w:leader="none"/>
        </w:tabs>
        <w:spacing w:line="240" w:lineRule="auto" w:before="82" w:after="0"/>
        <w:ind w:left="727" w:right="0" w:hanging="351"/>
        <w:jc w:val="left"/>
      </w:pPr>
      <w:r>
        <w:rPr>
          <w:w w:val="90"/>
        </w:rPr>
        <w:t>Apports</w:t>
      </w:r>
      <w:r>
        <w:rPr>
          <w:spacing w:val="49"/>
        </w:rPr>
        <w:t> </w:t>
      </w:r>
      <w:r>
        <w:rPr>
          <w:w w:val="90"/>
        </w:rPr>
        <w:t>spécifiques</w:t>
      </w:r>
      <w:r>
        <w:rPr>
          <w:spacing w:val="50"/>
        </w:rPr>
        <w:t> </w:t>
      </w:r>
      <w:r>
        <w:rPr>
          <w:spacing w:val="-10"/>
          <w:w w:val="90"/>
        </w:rPr>
        <w:t>:</w:t>
      </w:r>
    </w:p>
    <w:p>
      <w:pPr>
        <w:pStyle w:val="ListParagraph"/>
        <w:numPr>
          <w:ilvl w:val="4"/>
          <w:numId w:val="1"/>
        </w:numPr>
        <w:tabs>
          <w:tab w:pos="1242" w:val="left" w:leader="none"/>
        </w:tabs>
        <w:spacing w:line="312" w:lineRule="auto" w:before="164" w:after="0"/>
        <w:ind w:left="1242" w:right="849" w:hanging="352"/>
        <w:jc w:val="both"/>
        <w:rPr>
          <w:sz w:val="24"/>
        </w:rPr>
      </w:pPr>
      <w:r>
        <w:rPr>
          <w:w w:val="105"/>
          <w:sz w:val="24"/>
        </w:rPr>
        <w:t>L’ACP met en évidence que les facteurs les plus déterminants pour le marché boursier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marocain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 dynamique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réelle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(PIB,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consommation)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la stabilité </w:t>
      </w:r>
      <w:r>
        <w:rPr>
          <w:spacing w:val="-2"/>
          <w:w w:val="105"/>
          <w:sz w:val="24"/>
        </w:rPr>
        <w:t>monétaire.</w:t>
      </w:r>
    </w:p>
    <w:p>
      <w:pPr>
        <w:pStyle w:val="ListParagraph"/>
        <w:numPr>
          <w:ilvl w:val="4"/>
          <w:numId w:val="1"/>
        </w:numPr>
        <w:tabs>
          <w:tab w:pos="1242" w:val="left" w:leader="none"/>
        </w:tabs>
        <w:spacing w:line="312" w:lineRule="auto" w:before="41" w:after="0"/>
        <w:ind w:left="1242" w:right="848" w:hanging="352"/>
        <w:jc w:val="both"/>
        <w:rPr>
          <w:sz w:val="24"/>
        </w:rPr>
      </w:pPr>
      <w:r>
        <w:rPr>
          <w:w w:val="105"/>
          <w:sz w:val="24"/>
        </w:rPr>
        <w:t>L’ACM</w:t>
      </w:r>
      <w:r>
        <w:rPr>
          <w:w w:val="105"/>
          <w:sz w:val="24"/>
        </w:rPr>
        <w:t> permet</w:t>
      </w:r>
      <w:r>
        <w:rPr>
          <w:w w:val="105"/>
          <w:sz w:val="24"/>
        </w:rPr>
        <w:t> de</w:t>
      </w:r>
      <w:r>
        <w:rPr>
          <w:w w:val="105"/>
          <w:sz w:val="24"/>
        </w:rPr>
        <w:t> classer</w:t>
      </w:r>
      <w:r>
        <w:rPr>
          <w:w w:val="105"/>
          <w:sz w:val="24"/>
        </w:rPr>
        <w:t> les</w:t>
      </w:r>
      <w:r>
        <w:rPr>
          <w:w w:val="105"/>
          <w:sz w:val="24"/>
        </w:rPr>
        <w:t> années</w:t>
      </w:r>
      <w:r>
        <w:rPr>
          <w:w w:val="105"/>
          <w:sz w:val="24"/>
        </w:rPr>
        <w:t> selon</w:t>
      </w:r>
      <w:r>
        <w:rPr>
          <w:w w:val="105"/>
          <w:sz w:val="24"/>
        </w:rPr>
        <w:t> leur</w:t>
      </w:r>
      <w:r>
        <w:rPr>
          <w:w w:val="105"/>
          <w:sz w:val="24"/>
        </w:rPr>
        <w:t> similitude</w:t>
      </w:r>
      <w:r>
        <w:rPr>
          <w:w w:val="105"/>
          <w:sz w:val="24"/>
        </w:rPr>
        <w:t> structurelle,</w:t>
      </w:r>
      <w:r>
        <w:rPr>
          <w:w w:val="105"/>
          <w:sz w:val="24"/>
        </w:rPr>
        <w:t> en</w:t>
      </w:r>
      <w:r>
        <w:rPr>
          <w:w w:val="105"/>
          <w:sz w:val="24"/>
        </w:rPr>
        <w:t> re- groupant</w:t>
      </w:r>
      <w:r>
        <w:rPr>
          <w:w w:val="105"/>
          <w:sz w:val="24"/>
        </w:rPr>
        <w:t> clairement</w:t>
      </w:r>
      <w:r>
        <w:rPr>
          <w:w w:val="105"/>
          <w:sz w:val="24"/>
        </w:rPr>
        <w:t> les</w:t>
      </w:r>
      <w:r>
        <w:rPr>
          <w:w w:val="105"/>
          <w:sz w:val="24"/>
        </w:rPr>
        <w:t> années</w:t>
      </w:r>
      <w:r>
        <w:rPr>
          <w:w w:val="105"/>
          <w:sz w:val="24"/>
        </w:rPr>
        <w:t> de</w:t>
      </w:r>
      <w:r>
        <w:rPr>
          <w:w w:val="105"/>
          <w:sz w:val="24"/>
        </w:rPr>
        <w:t> crise</w:t>
      </w:r>
      <w:r>
        <w:rPr>
          <w:w w:val="105"/>
          <w:sz w:val="24"/>
        </w:rPr>
        <w:t> (comme</w:t>
      </w:r>
      <w:r>
        <w:rPr>
          <w:w w:val="105"/>
          <w:sz w:val="24"/>
        </w:rPr>
        <w:t> 2008</w:t>
      </w:r>
      <w:r>
        <w:rPr>
          <w:w w:val="105"/>
          <w:sz w:val="24"/>
        </w:rPr>
        <w:t> ou</w:t>
      </w:r>
      <w:r>
        <w:rPr>
          <w:w w:val="105"/>
          <w:sz w:val="24"/>
        </w:rPr>
        <w:t> la</w:t>
      </w:r>
      <w:r>
        <w:rPr>
          <w:w w:val="105"/>
          <w:sz w:val="24"/>
        </w:rPr>
        <w:t> période</w:t>
      </w:r>
      <w:r>
        <w:rPr>
          <w:w w:val="105"/>
          <w:sz w:val="24"/>
        </w:rPr>
        <w:t> Covid-19 2020–2023) par opposition aux périodes de croissance.</w:t>
      </w:r>
    </w:p>
    <w:p>
      <w:pPr>
        <w:pStyle w:val="ListParagraph"/>
        <w:numPr>
          <w:ilvl w:val="3"/>
          <w:numId w:val="1"/>
        </w:numPr>
        <w:tabs>
          <w:tab w:pos="727" w:val="left" w:leader="none"/>
        </w:tabs>
        <w:spacing w:line="312" w:lineRule="auto" w:before="82" w:after="0"/>
        <w:ind w:left="727" w:right="849" w:hanging="352"/>
        <w:jc w:val="both"/>
        <w:rPr>
          <w:sz w:val="24"/>
        </w:rPr>
      </w:pPr>
      <w:r>
        <w:rPr>
          <w:rFonts w:ascii="Georgia" w:hAnsi="Georgia"/>
          <w:b/>
          <w:sz w:val="24"/>
        </w:rPr>
        <w:t>Cohérence des résultats : </w:t>
      </w:r>
      <w:r>
        <w:rPr>
          <w:sz w:val="24"/>
        </w:rPr>
        <w:t>Les deux méthodes racontent une histoire cohérente. Les périodes de croissance identifiées quantitativement par l’ACP se retrouvent re- groupées</w:t>
      </w:r>
      <w:r>
        <w:rPr>
          <w:spacing w:val="40"/>
          <w:sz w:val="24"/>
        </w:rPr>
        <w:t> </w:t>
      </w:r>
      <w:r>
        <w:rPr>
          <w:sz w:val="24"/>
        </w:rPr>
        <w:t>qualitativement</w:t>
      </w:r>
      <w:r>
        <w:rPr>
          <w:spacing w:val="40"/>
          <w:sz w:val="24"/>
        </w:rPr>
        <w:t> </w:t>
      </w:r>
      <w:r>
        <w:rPr>
          <w:sz w:val="24"/>
        </w:rPr>
        <w:t>par</w:t>
      </w:r>
      <w:r>
        <w:rPr>
          <w:spacing w:val="40"/>
          <w:sz w:val="24"/>
        </w:rPr>
        <w:t> </w:t>
      </w:r>
      <w:r>
        <w:rPr>
          <w:sz w:val="24"/>
        </w:rPr>
        <w:t>l’ACM,</w:t>
      </w:r>
      <w:r>
        <w:rPr>
          <w:spacing w:val="40"/>
          <w:sz w:val="24"/>
        </w:rPr>
        <w:t> </w:t>
      </w:r>
      <w:r>
        <w:rPr>
          <w:sz w:val="24"/>
        </w:rPr>
        <w:t>ce</w:t>
      </w:r>
      <w:r>
        <w:rPr>
          <w:spacing w:val="40"/>
          <w:sz w:val="24"/>
        </w:rPr>
        <w:t> </w:t>
      </w:r>
      <w:r>
        <w:rPr>
          <w:sz w:val="24"/>
        </w:rPr>
        <w:t>qui</w:t>
      </w:r>
      <w:r>
        <w:rPr>
          <w:spacing w:val="40"/>
          <w:sz w:val="24"/>
        </w:rPr>
        <w:t> </w:t>
      </w:r>
      <w:r>
        <w:rPr>
          <w:sz w:val="24"/>
        </w:rPr>
        <w:t>renforce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solidité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conclusions.</w: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Heading3"/>
        <w:numPr>
          <w:ilvl w:val="2"/>
          <w:numId w:val="1"/>
        </w:numPr>
        <w:tabs>
          <w:tab w:pos="964" w:val="left" w:leader="none"/>
        </w:tabs>
        <w:spacing w:line="240" w:lineRule="auto" w:before="0" w:after="0"/>
        <w:ind w:left="964" w:right="0" w:hanging="822"/>
        <w:jc w:val="left"/>
      </w:pPr>
      <w:bookmarkStart w:name="Comparaison des implémentations : R vs P" w:id="23"/>
      <w:bookmarkEnd w:id="23"/>
      <w:r>
        <w:rPr>
          <w:b w:val="0"/>
        </w:rPr>
      </w:r>
      <w:r>
        <w:rPr>
          <w:spacing w:val="-8"/>
        </w:rPr>
        <w:t>Comparaison</w:t>
      </w:r>
      <w:r>
        <w:rPr>
          <w:spacing w:val="5"/>
        </w:rPr>
        <w:t> </w:t>
      </w:r>
      <w:r>
        <w:rPr>
          <w:spacing w:val="-8"/>
        </w:rPr>
        <w:t>des</w:t>
      </w:r>
      <w:r>
        <w:rPr>
          <w:spacing w:val="6"/>
        </w:rPr>
        <w:t> </w:t>
      </w:r>
      <w:r>
        <w:rPr>
          <w:spacing w:val="-8"/>
        </w:rPr>
        <w:t>implémentations</w:t>
      </w:r>
      <w:r>
        <w:rPr>
          <w:spacing w:val="6"/>
        </w:rPr>
        <w:t> </w:t>
      </w:r>
      <w:r>
        <w:rPr>
          <w:spacing w:val="-8"/>
        </w:rPr>
        <w:t>:</w:t>
      </w:r>
      <w:r>
        <w:rPr>
          <w:spacing w:val="6"/>
        </w:rPr>
        <w:t> </w:t>
      </w:r>
      <w:r>
        <w:rPr>
          <w:spacing w:val="-8"/>
        </w:rPr>
        <w:t>R</w:t>
      </w:r>
      <w:r>
        <w:rPr>
          <w:spacing w:val="6"/>
        </w:rPr>
        <w:t> </w:t>
      </w:r>
      <w:r>
        <w:rPr>
          <w:spacing w:val="-8"/>
        </w:rPr>
        <w:t>vs</w:t>
      </w:r>
      <w:r>
        <w:rPr>
          <w:spacing w:val="6"/>
        </w:rPr>
        <w:t> </w:t>
      </w:r>
      <w:r>
        <w:rPr>
          <w:spacing w:val="-8"/>
        </w:rPr>
        <w:t>Python</w:t>
      </w:r>
    </w:p>
    <w:p>
      <w:pPr>
        <w:pStyle w:val="BodyText"/>
        <w:spacing w:line="312" w:lineRule="auto" w:before="237"/>
        <w:ind w:left="142" w:right="849" w:firstLine="351"/>
        <w:jc w:val="both"/>
      </w:pPr>
      <w:r>
        <w:rPr>
          <w:w w:val="105"/>
        </w:rPr>
        <w:t>L’étude a été menée sous les environnements </w:t>
      </w:r>
      <w:r>
        <w:rPr>
          <w:rFonts w:ascii="Georgia" w:hAnsi="Georgia"/>
          <w:b/>
          <w:w w:val="105"/>
        </w:rPr>
        <w:t>R </w:t>
      </w:r>
      <w:r>
        <w:rPr>
          <w:w w:val="105"/>
        </w:rPr>
        <w:t>et </w:t>
      </w:r>
      <w:r>
        <w:rPr>
          <w:rFonts w:ascii="Georgia" w:hAnsi="Georgia"/>
          <w:b/>
          <w:w w:val="105"/>
        </w:rPr>
        <w:t>Python </w:t>
      </w:r>
      <w:r>
        <w:rPr>
          <w:w w:val="105"/>
        </w:rPr>
        <w:t>afin de garantir la robus- tesse des résultats.</w:t>
      </w:r>
    </w:p>
    <w:p>
      <w:pPr>
        <w:pStyle w:val="BodyText"/>
        <w:spacing w:after="0" w:line="312" w:lineRule="auto"/>
        <w:jc w:val="both"/>
        <w:sectPr>
          <w:pgSz w:w="11910" w:h="16840"/>
          <w:pgMar w:header="657" w:footer="0" w:top="1340" w:bottom="280" w:left="1275" w:right="566"/>
        </w:sectPr>
      </w:pPr>
    </w:p>
    <w:p>
      <w:pPr>
        <w:pStyle w:val="Heading3"/>
        <w:numPr>
          <w:ilvl w:val="3"/>
          <w:numId w:val="1"/>
        </w:numPr>
        <w:tabs>
          <w:tab w:pos="727" w:val="left" w:leader="none"/>
        </w:tabs>
        <w:spacing w:line="240" w:lineRule="auto" w:before="91" w:after="0"/>
        <w:ind w:left="727" w:right="0" w:hanging="351"/>
        <w:jc w:val="left"/>
      </w:pPr>
      <w:r>
        <w:rPr>
          <w:spacing w:val="-6"/>
        </w:rPr>
        <w:t>Outils</w:t>
      </w:r>
      <w:r>
        <w:rPr/>
        <w:t> </w:t>
      </w:r>
      <w:r>
        <w:rPr>
          <w:spacing w:val="-6"/>
        </w:rPr>
        <w:t>utilisés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4"/>
          <w:numId w:val="1"/>
        </w:numPr>
        <w:tabs>
          <w:tab w:pos="1242" w:val="left" w:leader="none"/>
        </w:tabs>
        <w:spacing w:line="240" w:lineRule="auto" w:before="160" w:after="0"/>
        <w:ind w:left="1242" w:right="0" w:hanging="351"/>
        <w:jc w:val="left"/>
        <w:rPr>
          <w:sz w:val="24"/>
        </w:rPr>
      </w:pPr>
      <w:r>
        <w:rPr>
          <w:w w:val="105"/>
          <w:sz w:val="24"/>
        </w:rPr>
        <w:t>Sous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packages</w:t>
      </w:r>
      <w:r>
        <w:rPr>
          <w:spacing w:val="-6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FactoMineR</w:t>
      </w:r>
      <w:r>
        <w:rPr>
          <w:rFonts w:ascii="Cambria" w:hAnsi="Cambria"/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factoextra</w:t>
      </w:r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4"/>
          <w:numId w:val="1"/>
        </w:numPr>
        <w:tabs>
          <w:tab w:pos="1242" w:val="left" w:leader="none"/>
        </w:tabs>
        <w:spacing w:line="240" w:lineRule="auto" w:before="118" w:after="0"/>
        <w:ind w:left="1242" w:right="0" w:hanging="351"/>
        <w:jc w:val="left"/>
        <w:rPr>
          <w:sz w:val="24"/>
        </w:rPr>
      </w:pPr>
      <w:r>
        <w:rPr>
          <w:w w:val="105"/>
          <w:sz w:val="24"/>
        </w:rPr>
        <w:t>Sous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Python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bibliothèque</w:t>
      </w:r>
      <w:r>
        <w:rPr>
          <w:spacing w:val="11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prince</w:t>
      </w:r>
      <w:r>
        <w:rPr>
          <w:spacing w:val="-2"/>
          <w:w w:val="105"/>
          <w:sz w:val="24"/>
        </w:rPr>
        <w:t>.</w:t>
      </w:r>
    </w:p>
    <w:p>
      <w:pPr>
        <w:pStyle w:val="Heading3"/>
        <w:numPr>
          <w:ilvl w:val="3"/>
          <w:numId w:val="1"/>
        </w:numPr>
        <w:tabs>
          <w:tab w:pos="727" w:val="left" w:leader="none"/>
        </w:tabs>
        <w:spacing w:line="240" w:lineRule="auto" w:before="164" w:after="0"/>
        <w:ind w:left="727" w:right="0" w:hanging="351"/>
        <w:jc w:val="left"/>
      </w:pPr>
      <w:r>
        <w:rPr>
          <w:w w:val="90"/>
        </w:rPr>
        <w:t>Similitudes</w:t>
      </w:r>
      <w:r>
        <w:rPr>
          <w:spacing w:val="45"/>
        </w:rPr>
        <w:t> </w:t>
      </w:r>
      <w:r>
        <w:rPr>
          <w:w w:val="90"/>
        </w:rPr>
        <w:t>constatées</w:t>
      </w:r>
      <w:r>
        <w:rPr>
          <w:spacing w:val="46"/>
        </w:rPr>
        <w:t> </w:t>
      </w:r>
      <w:r>
        <w:rPr>
          <w:spacing w:val="-10"/>
          <w:w w:val="90"/>
        </w:rPr>
        <w:t>:</w:t>
      </w:r>
    </w:p>
    <w:p>
      <w:pPr>
        <w:pStyle w:val="ListParagraph"/>
        <w:numPr>
          <w:ilvl w:val="4"/>
          <w:numId w:val="1"/>
        </w:numPr>
        <w:tabs>
          <w:tab w:pos="1242" w:val="left" w:leader="none"/>
        </w:tabs>
        <w:spacing w:line="240" w:lineRule="auto" w:before="164" w:after="0"/>
        <w:ind w:left="1242" w:right="0" w:hanging="351"/>
        <w:jc w:val="left"/>
        <w:rPr>
          <w:sz w:val="24"/>
        </w:rPr>
      </w:pPr>
      <w:r>
        <w:rPr>
          <w:sz w:val="24"/>
        </w:rPr>
        <w:t>Axes</w:t>
      </w:r>
      <w:r>
        <w:rPr>
          <w:spacing w:val="30"/>
          <w:sz w:val="24"/>
        </w:rPr>
        <w:t> </w:t>
      </w:r>
      <w:r>
        <w:rPr>
          <w:sz w:val="24"/>
        </w:rPr>
        <w:t>factoriels</w:t>
      </w:r>
      <w:r>
        <w:rPr>
          <w:spacing w:val="31"/>
          <w:sz w:val="24"/>
        </w:rPr>
        <w:t> </w:t>
      </w:r>
      <w:r>
        <w:rPr>
          <w:sz w:val="24"/>
        </w:rPr>
        <w:t>similaires</w:t>
      </w:r>
      <w:r>
        <w:rPr>
          <w:spacing w:val="32"/>
          <w:sz w:val="24"/>
        </w:rPr>
        <w:t> </w:t>
      </w:r>
      <w:r>
        <w:rPr>
          <w:sz w:val="24"/>
        </w:rPr>
        <w:t>dans</w:t>
      </w:r>
      <w:r>
        <w:rPr>
          <w:spacing w:val="31"/>
          <w:sz w:val="24"/>
        </w:rPr>
        <w:t> </w:t>
      </w: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deux</w:t>
      </w:r>
      <w:r>
        <w:rPr>
          <w:spacing w:val="32"/>
          <w:sz w:val="24"/>
        </w:rPr>
        <w:t> </w:t>
      </w:r>
      <w:r>
        <w:rPr>
          <w:sz w:val="24"/>
        </w:rPr>
        <w:t>langages</w:t>
      </w:r>
      <w:r>
        <w:rPr>
          <w:spacing w:val="-14"/>
          <w:sz w:val="24"/>
        </w:rPr>
        <w:t> </w:t>
      </w:r>
      <w:r>
        <w:rPr>
          <w:spacing w:val="-10"/>
          <w:sz w:val="24"/>
        </w:rPr>
        <w:t>;</w:t>
      </w:r>
    </w:p>
    <w:p>
      <w:pPr>
        <w:pStyle w:val="ListParagraph"/>
        <w:numPr>
          <w:ilvl w:val="4"/>
          <w:numId w:val="1"/>
        </w:numPr>
        <w:tabs>
          <w:tab w:pos="1242" w:val="left" w:leader="none"/>
        </w:tabs>
        <w:spacing w:line="240" w:lineRule="auto" w:before="124" w:after="0"/>
        <w:ind w:left="1242" w:right="0" w:hanging="351"/>
        <w:jc w:val="left"/>
        <w:rPr>
          <w:sz w:val="24"/>
        </w:rPr>
      </w:pPr>
      <w:r>
        <w:rPr>
          <w:w w:val="105"/>
          <w:sz w:val="24"/>
        </w:rPr>
        <w:t>Pourcentages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 variance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expliquée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(inertie) quasi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identiques</w:t>
      </w:r>
      <w:r>
        <w:rPr>
          <w:spacing w:val="-24"/>
          <w:w w:val="105"/>
          <w:sz w:val="24"/>
        </w:rPr>
        <w:t> </w:t>
      </w:r>
      <w:r>
        <w:rPr>
          <w:spacing w:val="-10"/>
          <w:w w:val="105"/>
          <w:sz w:val="24"/>
        </w:rPr>
        <w:t>;</w:t>
      </w:r>
    </w:p>
    <w:p>
      <w:pPr>
        <w:pStyle w:val="ListParagraph"/>
        <w:numPr>
          <w:ilvl w:val="4"/>
          <w:numId w:val="1"/>
        </w:numPr>
        <w:tabs>
          <w:tab w:pos="1242" w:val="left" w:leader="none"/>
        </w:tabs>
        <w:spacing w:line="312" w:lineRule="auto" w:before="124" w:after="0"/>
        <w:ind w:left="1242" w:right="848" w:hanging="352"/>
        <w:jc w:val="left"/>
        <w:rPr>
          <w:sz w:val="24"/>
        </w:rPr>
      </w:pPr>
      <w:r>
        <w:rPr>
          <w:w w:val="105"/>
          <w:sz w:val="24"/>
        </w:rPr>
        <w:t>Projections graphiques montrant les mêmes structures et regroupements d’an- </w:t>
      </w:r>
      <w:r>
        <w:rPr>
          <w:spacing w:val="-4"/>
          <w:w w:val="105"/>
          <w:sz w:val="24"/>
        </w:rPr>
        <w:t>nées.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Heading1"/>
        <w:ind w:left="493" w:firstLine="0"/>
      </w:pPr>
      <w:r>
        <w:rPr>
          <w:color w:val="003B78"/>
          <w:spacing w:val="-2"/>
        </w:rPr>
        <w:t>conclusion</w:t>
      </w:r>
    </w:p>
    <w:p>
      <w:pPr>
        <w:pStyle w:val="BodyText"/>
        <w:spacing w:before="227"/>
        <w:rPr>
          <w:rFonts w:ascii="Cambria"/>
          <w:b/>
          <w:sz w:val="34"/>
        </w:rPr>
      </w:pPr>
    </w:p>
    <w:p>
      <w:pPr>
        <w:pStyle w:val="BodyText"/>
        <w:spacing w:line="312" w:lineRule="auto"/>
        <w:ind w:left="142" w:right="847" w:firstLine="351"/>
        <w:jc w:val="both"/>
      </w:pPr>
      <w:r>
        <w:rPr>
          <w:w w:val="105"/>
        </w:rPr>
        <w:t>L’analyse</w:t>
      </w:r>
      <w:r>
        <w:rPr>
          <w:w w:val="105"/>
        </w:rPr>
        <w:t> des</w:t>
      </w:r>
      <w:r>
        <w:rPr>
          <w:w w:val="105"/>
        </w:rPr>
        <w:t> données</w:t>
      </w:r>
      <w:r>
        <w:rPr>
          <w:w w:val="105"/>
        </w:rPr>
        <w:t> du</w:t>
      </w:r>
      <w:r>
        <w:rPr>
          <w:w w:val="105"/>
        </w:rPr>
        <w:t> marché</w:t>
      </w:r>
      <w:r>
        <w:rPr>
          <w:w w:val="105"/>
        </w:rPr>
        <w:t> boursier</w:t>
      </w:r>
      <w:r>
        <w:rPr>
          <w:w w:val="105"/>
        </w:rPr>
        <w:t> marocain,</w:t>
      </w:r>
      <w:r>
        <w:rPr>
          <w:w w:val="105"/>
        </w:rPr>
        <w:t> réalisée</w:t>
      </w:r>
      <w:r>
        <w:rPr>
          <w:w w:val="105"/>
        </w:rPr>
        <w:t> à</w:t>
      </w:r>
      <w:r>
        <w:rPr>
          <w:w w:val="105"/>
        </w:rPr>
        <w:t> travers</w:t>
      </w:r>
      <w:r>
        <w:rPr>
          <w:w w:val="105"/>
        </w:rPr>
        <w:t> l’Analyse</w:t>
      </w:r>
      <w:r>
        <w:rPr>
          <w:w w:val="105"/>
        </w:rPr>
        <w:t> en Composantes</w:t>
      </w:r>
      <w:r>
        <w:rPr>
          <w:w w:val="105"/>
        </w:rPr>
        <w:t> Principales</w:t>
      </w:r>
      <w:r>
        <w:rPr>
          <w:w w:val="105"/>
        </w:rPr>
        <w:t> (ACP)</w:t>
      </w:r>
      <w:r>
        <w:rPr>
          <w:w w:val="105"/>
        </w:rPr>
        <w:t> pour</w:t>
      </w:r>
      <w:r>
        <w:rPr>
          <w:w w:val="105"/>
        </w:rPr>
        <w:t> les</w:t>
      </w:r>
      <w:r>
        <w:rPr>
          <w:w w:val="105"/>
        </w:rPr>
        <w:t> variables</w:t>
      </w:r>
      <w:r>
        <w:rPr>
          <w:w w:val="105"/>
        </w:rPr>
        <w:t> quantitatives</w:t>
      </w:r>
      <w:r>
        <w:rPr>
          <w:w w:val="105"/>
        </w:rPr>
        <w:t> et</w:t>
      </w:r>
      <w:r>
        <w:rPr>
          <w:w w:val="105"/>
        </w:rPr>
        <w:t> l’Analyse</w:t>
      </w:r>
      <w:r>
        <w:rPr>
          <w:w w:val="105"/>
        </w:rPr>
        <w:t> des</w:t>
      </w:r>
      <w:r>
        <w:rPr>
          <w:w w:val="105"/>
        </w:rPr>
        <w:t> Cor- respondances Multiples (ACM) pour les variables qualitatives, a permis de dégager une </w:t>
      </w:r>
      <w:r>
        <w:rPr>
          <w:spacing w:val="-2"/>
          <w:w w:val="105"/>
        </w:rPr>
        <w:t>compréhension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claire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dynamiques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économiques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financières.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Concrètement,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l’ACP </w:t>
      </w:r>
      <w:r>
        <w:rPr>
          <w:w w:val="105"/>
        </w:rPr>
        <w:t>met</w:t>
      </w:r>
      <w:r>
        <w:rPr>
          <w:w w:val="105"/>
        </w:rPr>
        <w:t> en</w:t>
      </w:r>
      <w:r>
        <w:rPr>
          <w:w w:val="105"/>
        </w:rPr>
        <w:t> évidence</w:t>
      </w:r>
      <w:r>
        <w:rPr>
          <w:w w:val="105"/>
        </w:rPr>
        <w:t> les</w:t>
      </w:r>
      <w:r>
        <w:rPr>
          <w:w w:val="105"/>
        </w:rPr>
        <w:t> facteurs</w:t>
      </w:r>
      <w:r>
        <w:rPr>
          <w:w w:val="105"/>
        </w:rPr>
        <w:t> macroéconomiques</w:t>
      </w:r>
      <w:r>
        <w:rPr>
          <w:w w:val="105"/>
        </w:rPr>
        <w:t> les</w:t>
      </w:r>
      <w:r>
        <w:rPr>
          <w:w w:val="105"/>
        </w:rPr>
        <w:t> plus</w:t>
      </w:r>
      <w:r>
        <w:rPr>
          <w:w w:val="105"/>
        </w:rPr>
        <w:t> déterminants,</w:t>
      </w:r>
      <w:r>
        <w:rPr>
          <w:w w:val="105"/>
        </w:rPr>
        <w:t> tels</w:t>
      </w:r>
      <w:r>
        <w:rPr>
          <w:w w:val="105"/>
        </w:rPr>
        <w:t> que</w:t>
      </w:r>
      <w:r>
        <w:rPr>
          <w:w w:val="105"/>
        </w:rPr>
        <w:t> la</w:t>
      </w:r>
      <w:r>
        <w:rPr>
          <w:w w:val="105"/>
        </w:rPr>
        <w:t> crois- sance</w:t>
      </w:r>
      <w:r>
        <w:rPr>
          <w:spacing w:val="37"/>
          <w:w w:val="105"/>
        </w:rPr>
        <w:t> </w:t>
      </w:r>
      <w:r>
        <w:rPr>
          <w:w w:val="105"/>
        </w:rPr>
        <w:t>économique,</w:t>
      </w:r>
      <w:r>
        <w:rPr>
          <w:spacing w:val="37"/>
          <w:w w:val="105"/>
        </w:rPr>
        <w:t> </w:t>
      </w:r>
      <w:r>
        <w:rPr>
          <w:w w:val="105"/>
        </w:rPr>
        <w:t>l’inflation,</w:t>
      </w:r>
      <w:r>
        <w:rPr>
          <w:spacing w:val="37"/>
          <w:w w:val="105"/>
        </w:rPr>
        <w:t> </w:t>
      </w:r>
      <w:r>
        <w:rPr>
          <w:w w:val="105"/>
        </w:rPr>
        <w:t>et</w:t>
      </w:r>
      <w:r>
        <w:rPr>
          <w:spacing w:val="36"/>
          <w:w w:val="105"/>
        </w:rPr>
        <w:t> </w:t>
      </w:r>
      <w:r>
        <w:rPr>
          <w:w w:val="105"/>
        </w:rPr>
        <w:t>les</w:t>
      </w:r>
      <w:r>
        <w:rPr>
          <w:spacing w:val="37"/>
          <w:w w:val="105"/>
        </w:rPr>
        <w:t> </w:t>
      </w:r>
      <w:r>
        <w:rPr>
          <w:w w:val="105"/>
        </w:rPr>
        <w:t>taux</w:t>
      </w:r>
      <w:r>
        <w:rPr>
          <w:spacing w:val="36"/>
          <w:w w:val="105"/>
        </w:rPr>
        <w:t> </w:t>
      </w:r>
      <w:r>
        <w:rPr>
          <w:w w:val="105"/>
        </w:rPr>
        <w:t>d’intérêt,</w:t>
      </w:r>
      <w:r>
        <w:rPr>
          <w:spacing w:val="37"/>
          <w:w w:val="105"/>
        </w:rPr>
        <w:t> </w:t>
      </w:r>
      <w:r>
        <w:rPr>
          <w:w w:val="105"/>
        </w:rPr>
        <w:t>et</w:t>
      </w:r>
      <w:r>
        <w:rPr>
          <w:spacing w:val="36"/>
          <w:w w:val="105"/>
        </w:rPr>
        <w:t> </w:t>
      </w:r>
      <w:r>
        <w:rPr>
          <w:w w:val="105"/>
        </w:rPr>
        <w:t>montre</w:t>
      </w:r>
      <w:r>
        <w:rPr>
          <w:spacing w:val="37"/>
          <w:w w:val="105"/>
        </w:rPr>
        <w:t> </w:t>
      </w:r>
      <w:r>
        <w:rPr>
          <w:w w:val="105"/>
        </w:rPr>
        <w:t>comment</w:t>
      </w:r>
      <w:r>
        <w:rPr>
          <w:spacing w:val="36"/>
          <w:w w:val="105"/>
        </w:rPr>
        <w:t> </w:t>
      </w:r>
      <w:r>
        <w:rPr>
          <w:w w:val="105"/>
        </w:rPr>
        <w:t>ils</w:t>
      </w:r>
      <w:r>
        <w:rPr>
          <w:spacing w:val="37"/>
          <w:w w:val="105"/>
        </w:rPr>
        <w:t> </w:t>
      </w:r>
      <w:r>
        <w:rPr>
          <w:w w:val="105"/>
        </w:rPr>
        <w:t>influencent la</w:t>
      </w:r>
      <w:r>
        <w:rPr>
          <w:w w:val="105"/>
        </w:rPr>
        <w:t> performance</w:t>
      </w:r>
      <w:r>
        <w:rPr>
          <w:w w:val="105"/>
        </w:rPr>
        <w:t> globale</w:t>
      </w:r>
      <w:r>
        <w:rPr>
          <w:w w:val="105"/>
        </w:rPr>
        <w:t> des</w:t>
      </w:r>
      <w:r>
        <w:rPr>
          <w:w w:val="105"/>
        </w:rPr>
        <w:t> indices</w:t>
      </w:r>
      <w:r>
        <w:rPr>
          <w:w w:val="105"/>
        </w:rPr>
        <w:t> boursiers.</w:t>
      </w:r>
      <w:r>
        <w:rPr>
          <w:w w:val="105"/>
        </w:rPr>
        <w:t> .</w:t>
      </w:r>
      <w:r>
        <w:rPr>
          <w:w w:val="105"/>
        </w:rPr>
        <w:t> L’ACM,</w:t>
      </w:r>
      <w:r>
        <w:rPr>
          <w:w w:val="105"/>
        </w:rPr>
        <w:t> quant</w:t>
      </w:r>
      <w:r>
        <w:rPr>
          <w:w w:val="105"/>
        </w:rPr>
        <w:t> à</w:t>
      </w:r>
      <w:r>
        <w:rPr>
          <w:w w:val="105"/>
        </w:rPr>
        <w:t> elle,</w:t>
      </w:r>
      <w:r>
        <w:rPr>
          <w:w w:val="105"/>
        </w:rPr>
        <w:t> révèle</w:t>
      </w:r>
      <w:r>
        <w:rPr>
          <w:w w:val="105"/>
        </w:rPr>
        <w:t> les</w:t>
      </w:r>
      <w:r>
        <w:rPr>
          <w:w w:val="105"/>
        </w:rPr>
        <w:t> relations entre les caractéristiques qualitatives des entreprises cotées — secteur d’activité, taille ou capitalisation — et leur comportement sur le marché.</w:t>
      </w:r>
    </w:p>
    <w:p>
      <w:pPr>
        <w:pStyle w:val="BodyText"/>
        <w:spacing w:line="312" w:lineRule="auto"/>
        <w:ind w:left="142" w:right="847" w:firstLine="351"/>
        <w:jc w:val="both"/>
      </w:pPr>
      <w:r>
        <w:rPr>
          <w:w w:val="105"/>
        </w:rPr>
        <w:t>Ainsi,</w:t>
      </w:r>
      <w:r>
        <w:rPr>
          <w:w w:val="105"/>
        </w:rPr>
        <w:t> ces</w:t>
      </w:r>
      <w:r>
        <w:rPr>
          <w:w w:val="105"/>
        </w:rPr>
        <w:t> analyses</w:t>
      </w:r>
      <w:r>
        <w:rPr>
          <w:w w:val="105"/>
        </w:rPr>
        <w:t> offrent</w:t>
      </w:r>
      <w:r>
        <w:rPr>
          <w:w w:val="105"/>
        </w:rPr>
        <w:t> un</w:t>
      </w:r>
      <w:r>
        <w:rPr>
          <w:w w:val="105"/>
        </w:rPr>
        <w:t> éclairage</w:t>
      </w:r>
      <w:r>
        <w:rPr>
          <w:w w:val="105"/>
        </w:rPr>
        <w:t> réel</w:t>
      </w:r>
      <w:r>
        <w:rPr>
          <w:w w:val="105"/>
        </w:rPr>
        <w:t> sur</w:t>
      </w:r>
      <w:r>
        <w:rPr>
          <w:w w:val="105"/>
        </w:rPr>
        <w:t> le</w:t>
      </w:r>
      <w:r>
        <w:rPr>
          <w:w w:val="105"/>
        </w:rPr>
        <w:t> fonctionnement</w:t>
      </w:r>
      <w:r>
        <w:rPr>
          <w:w w:val="105"/>
        </w:rPr>
        <w:t> du</w:t>
      </w:r>
      <w:r>
        <w:rPr>
          <w:w w:val="105"/>
        </w:rPr>
        <w:t> marché</w:t>
      </w:r>
      <w:r>
        <w:rPr>
          <w:w w:val="105"/>
        </w:rPr>
        <w:t> maro- cain</w:t>
      </w:r>
      <w:r>
        <w:rPr>
          <w:spacing w:val="-1"/>
          <w:w w:val="105"/>
        </w:rPr>
        <w:t> </w:t>
      </w:r>
      <w:r>
        <w:rPr>
          <w:w w:val="105"/>
        </w:rPr>
        <w:t>:</w:t>
      </w:r>
      <w:r>
        <w:rPr>
          <w:spacing w:val="-1"/>
          <w:w w:val="105"/>
        </w:rPr>
        <w:t> </w:t>
      </w:r>
      <w:r>
        <w:rPr>
          <w:w w:val="105"/>
        </w:rPr>
        <w:t>elles</w:t>
      </w:r>
      <w:r>
        <w:rPr>
          <w:spacing w:val="-1"/>
          <w:w w:val="105"/>
        </w:rPr>
        <w:t> </w:t>
      </w:r>
      <w:r>
        <w:rPr>
          <w:w w:val="105"/>
        </w:rPr>
        <w:t>permettent</w:t>
      </w:r>
      <w:r>
        <w:rPr>
          <w:spacing w:val="-1"/>
          <w:w w:val="105"/>
        </w:rPr>
        <w:t> </w:t>
      </w:r>
      <w:r>
        <w:rPr>
          <w:w w:val="105"/>
        </w:rPr>
        <w:t>d’identifier</w:t>
      </w:r>
      <w:r>
        <w:rPr>
          <w:spacing w:val="-1"/>
          <w:w w:val="105"/>
        </w:rPr>
        <w:t> </w:t>
      </w:r>
      <w:r>
        <w:rPr>
          <w:w w:val="105"/>
        </w:rPr>
        <w:t>quels</w:t>
      </w:r>
      <w:r>
        <w:rPr>
          <w:spacing w:val="-1"/>
          <w:w w:val="105"/>
        </w:rPr>
        <w:t> </w:t>
      </w:r>
      <w:r>
        <w:rPr>
          <w:w w:val="105"/>
        </w:rPr>
        <w:t>facteurs</w:t>
      </w:r>
      <w:r>
        <w:rPr>
          <w:spacing w:val="-1"/>
          <w:w w:val="105"/>
        </w:rPr>
        <w:t> </w:t>
      </w:r>
      <w:r>
        <w:rPr>
          <w:w w:val="105"/>
        </w:rPr>
        <w:t>favorisent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croissance</w:t>
      </w:r>
      <w:r>
        <w:rPr>
          <w:spacing w:val="-1"/>
          <w:w w:val="105"/>
        </w:rPr>
        <w:t> </w:t>
      </w:r>
      <w:r>
        <w:rPr>
          <w:w w:val="105"/>
        </w:rPr>
        <w:t>et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stabilité</w:t>
      </w:r>
      <w:r>
        <w:rPr>
          <w:spacing w:val="-1"/>
          <w:w w:val="105"/>
        </w:rPr>
        <w:t> </w:t>
      </w:r>
      <w:r>
        <w:rPr>
          <w:w w:val="105"/>
        </w:rPr>
        <w:t>des actions,</w:t>
      </w:r>
      <w:r>
        <w:rPr>
          <w:w w:val="105"/>
        </w:rPr>
        <w:t> quelles</w:t>
      </w:r>
      <w:r>
        <w:rPr>
          <w:w w:val="105"/>
        </w:rPr>
        <w:t> caractéristiques</w:t>
      </w:r>
      <w:r>
        <w:rPr>
          <w:w w:val="105"/>
        </w:rPr>
        <w:t> d’entreprise</w:t>
      </w:r>
      <w:r>
        <w:rPr>
          <w:w w:val="105"/>
        </w:rPr>
        <w:t> sont</w:t>
      </w:r>
      <w:r>
        <w:rPr>
          <w:w w:val="105"/>
        </w:rPr>
        <w:t> associées</w:t>
      </w:r>
      <w:r>
        <w:rPr>
          <w:w w:val="105"/>
        </w:rPr>
        <w:t> à</w:t>
      </w:r>
      <w:r>
        <w:rPr>
          <w:w w:val="105"/>
        </w:rPr>
        <w:t> une</w:t>
      </w:r>
      <w:r>
        <w:rPr>
          <w:w w:val="105"/>
        </w:rPr>
        <w:t> meilleure</w:t>
      </w:r>
      <w:r>
        <w:rPr>
          <w:w w:val="105"/>
        </w:rPr>
        <w:t> performance et,</w:t>
      </w:r>
      <w:r>
        <w:rPr>
          <w:w w:val="105"/>
        </w:rPr>
        <w:t> plus</w:t>
      </w:r>
      <w:r>
        <w:rPr>
          <w:w w:val="105"/>
        </w:rPr>
        <w:t> largement,</w:t>
      </w:r>
      <w:r>
        <w:rPr>
          <w:w w:val="105"/>
        </w:rPr>
        <w:t> comment</w:t>
      </w:r>
      <w:r>
        <w:rPr>
          <w:w w:val="105"/>
        </w:rPr>
        <w:t> le</w:t>
      </w:r>
      <w:r>
        <w:rPr>
          <w:w w:val="105"/>
        </w:rPr>
        <w:t> marché</w:t>
      </w:r>
      <w:r>
        <w:rPr>
          <w:w w:val="105"/>
        </w:rPr>
        <w:t> boursier</w:t>
      </w:r>
      <w:r>
        <w:rPr>
          <w:w w:val="105"/>
        </w:rPr>
        <w:t> reflète</w:t>
      </w:r>
      <w:r>
        <w:rPr>
          <w:w w:val="105"/>
        </w:rPr>
        <w:t> la</w:t>
      </w:r>
      <w:r>
        <w:rPr>
          <w:w w:val="105"/>
        </w:rPr>
        <w:t> santé</w:t>
      </w:r>
      <w:r>
        <w:rPr>
          <w:w w:val="105"/>
        </w:rPr>
        <w:t> économique</w:t>
      </w:r>
      <w:r>
        <w:rPr>
          <w:w w:val="105"/>
        </w:rPr>
        <w:t> nationale. Pour les investisseurs et décideurs, ces outils statistiques deviennent un support concret pour</w:t>
      </w:r>
      <w:r>
        <w:rPr>
          <w:w w:val="105"/>
        </w:rPr>
        <w:t> orienter</w:t>
      </w:r>
      <w:r>
        <w:rPr>
          <w:w w:val="105"/>
        </w:rPr>
        <w:t> les</w:t>
      </w:r>
      <w:r>
        <w:rPr>
          <w:w w:val="105"/>
        </w:rPr>
        <w:t> décisions</w:t>
      </w:r>
      <w:r>
        <w:rPr>
          <w:w w:val="105"/>
        </w:rPr>
        <w:t> d’investissement,</w:t>
      </w:r>
      <w:r>
        <w:rPr>
          <w:w w:val="105"/>
        </w:rPr>
        <w:t> la</w:t>
      </w:r>
      <w:r>
        <w:rPr>
          <w:w w:val="105"/>
        </w:rPr>
        <w:t> politique</w:t>
      </w:r>
      <w:r>
        <w:rPr>
          <w:w w:val="105"/>
        </w:rPr>
        <w:t> financière</w:t>
      </w:r>
      <w:r>
        <w:rPr>
          <w:w w:val="105"/>
        </w:rPr>
        <w:t> et</w:t>
      </w:r>
      <w:r>
        <w:rPr>
          <w:w w:val="105"/>
        </w:rPr>
        <w:t> les</w:t>
      </w:r>
      <w:r>
        <w:rPr>
          <w:w w:val="105"/>
        </w:rPr>
        <w:t> stratégies</w:t>
      </w:r>
      <w:r>
        <w:rPr>
          <w:w w:val="105"/>
        </w:rPr>
        <w:t> de développement économique.</w:t>
      </w:r>
    </w:p>
    <w:p>
      <w:pPr>
        <w:pStyle w:val="BodyText"/>
        <w:spacing w:line="312" w:lineRule="auto"/>
        <w:ind w:left="142" w:right="848" w:firstLine="351"/>
        <w:jc w:val="both"/>
      </w:pPr>
      <w:r>
        <w:rPr>
          <w:w w:val="105"/>
        </w:rPr>
        <w:t>En résumé, l’ACP et l’ACM ne se limitent pas à des résultats théoriques : elles tra- duisent les données en indicateurs pratiques, offrant une lecture précise et opérationnelle du marché boursier marocain et de son interaction avec l’économie réelle.</w:t>
      </w:r>
    </w:p>
    <w:sectPr>
      <w:pgSz w:w="11910" w:h="16840"/>
      <w:pgMar w:header="657" w:footer="0" w:top="1340" w:bottom="280" w:left="1275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9648">
              <wp:simplePos x="0" y="0"/>
              <wp:positionH relativeFrom="page">
                <wp:posOffset>899998</wp:posOffset>
              </wp:positionH>
              <wp:positionV relativeFrom="page">
                <wp:posOffset>618477</wp:posOffset>
              </wp:positionV>
              <wp:extent cx="5760085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6832" from="70.865997pt,48.699013pt" to="524.408997pt,48.699013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160">
              <wp:simplePos x="0" y="0"/>
              <wp:positionH relativeFrom="page">
                <wp:posOffset>6572986</wp:posOffset>
              </wp:positionH>
              <wp:positionV relativeFrom="page">
                <wp:posOffset>404561</wp:posOffset>
              </wp:positionV>
              <wp:extent cx="99695" cy="21717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996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7.557983pt;margin-top:31.855217pt;width:7.85pt;height:17.1pt;mso-position-horizontal-relative:page;mso-position-vertical-relative:page;z-index:-16056320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672">
              <wp:simplePos x="0" y="0"/>
              <wp:positionH relativeFrom="page">
                <wp:posOffset>899998</wp:posOffset>
              </wp:positionH>
              <wp:positionV relativeFrom="page">
                <wp:posOffset>619988</wp:posOffset>
              </wp:positionV>
              <wp:extent cx="5760085" cy="1270"/>
              <wp:effectExtent l="0" t="0" r="0" b="0"/>
              <wp:wrapNone/>
              <wp:docPr id="10" name="Graphic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Graphic 1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5808" from="70.865997pt,48.818016pt" to="524.408997pt,48.818016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184">
              <wp:simplePos x="0" y="0"/>
              <wp:positionH relativeFrom="page">
                <wp:posOffset>887298</wp:posOffset>
              </wp:positionH>
              <wp:positionV relativeFrom="page">
                <wp:posOffset>406059</wp:posOffset>
              </wp:positionV>
              <wp:extent cx="2499995" cy="2171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4999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371" w:val="left" w:leader="none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  <w:r>
                            <w:rPr/>
                            <w:tab/>
                          </w:r>
                          <w:r>
                            <w:rPr>
                              <w:w w:val="105"/>
                            </w:rPr>
                            <w:t>EXPLORATION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DES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DONNÉES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1.973217pt;width:196.85pt;height:17.1pt;mso-position-horizontal-relative:page;mso-position-vertical-relative:page;z-index:-16055296" type="#_x0000_t202" id="docshape7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371" w:val="left" w:leader="none"/>
                      </w:tabs>
                      <w:spacing w:before="21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1</w:t>
                    </w:r>
                    <w:r>
                      <w:rPr/>
                      <w:tab/>
                    </w:r>
                    <w:r>
                      <w:rPr>
                        <w:w w:val="105"/>
                      </w:rPr>
                      <w:t>EXPLORATION</w:t>
                    </w:r>
                    <w:r>
                      <w:rPr>
                        <w:spacing w:val="-3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DES</w:t>
                    </w:r>
                    <w:r>
                      <w:rPr>
                        <w:spacing w:val="-3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DONNÉES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696">
              <wp:simplePos x="0" y="0"/>
              <wp:positionH relativeFrom="page">
                <wp:posOffset>6547105</wp:posOffset>
              </wp:positionH>
              <wp:positionV relativeFrom="page">
                <wp:posOffset>406059</wp:posOffset>
              </wp:positionV>
              <wp:extent cx="163195" cy="21717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5.520081pt;margin-top:31.973217pt;width:12.85pt;height:17.1pt;mso-position-horizontal-relative:page;mso-position-vertical-relative:page;z-index:-16054784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2208">
              <wp:simplePos x="0" y="0"/>
              <wp:positionH relativeFrom="page">
                <wp:posOffset>899998</wp:posOffset>
              </wp:positionH>
              <wp:positionV relativeFrom="page">
                <wp:posOffset>618477</wp:posOffset>
              </wp:positionV>
              <wp:extent cx="5760085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4272" from="70.865997pt,48.699013pt" to="524.408997pt,48.699013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2720">
              <wp:simplePos x="0" y="0"/>
              <wp:positionH relativeFrom="page">
                <wp:posOffset>887298</wp:posOffset>
              </wp:positionH>
              <wp:positionV relativeFrom="page">
                <wp:posOffset>404561</wp:posOffset>
              </wp:positionV>
              <wp:extent cx="3985895" cy="2171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39858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371" w:val="left" w:leader="none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  <w:r>
                            <w:rPr/>
                            <w:tab/>
                          </w:r>
                          <w:r>
                            <w:rPr>
                              <w:spacing w:val="-2"/>
                              <w:w w:val="105"/>
                            </w:rPr>
                            <w:t>ANALYSE</w:t>
                          </w:r>
                          <w:r>
                            <w:rPr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EN</w:t>
                          </w:r>
                          <w:r>
                            <w:rPr>
                              <w:spacing w:val="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COMPOSANTES</w:t>
                          </w:r>
                          <w:r>
                            <w:rPr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PRINCIPALES</w:t>
                          </w:r>
                          <w:r>
                            <w:rPr>
                              <w:spacing w:val="2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(ACP)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1.855217pt;width:313.850pt;height:17.1pt;mso-position-horizontal-relative:page;mso-position-vertical-relative:page;z-index:-16053760" type="#_x0000_t202" id="docshape9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371" w:val="left" w:leader="none"/>
                      </w:tabs>
                      <w:spacing w:before="21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2</w:t>
                    </w:r>
                    <w:r>
                      <w:rPr/>
                      <w:tab/>
                    </w:r>
                    <w:r>
                      <w:rPr>
                        <w:spacing w:val="-2"/>
                        <w:w w:val="105"/>
                      </w:rPr>
                      <w:t>ANALYSE</w:t>
                    </w:r>
                    <w:r>
                      <w:rPr>
                        <w:spacing w:val="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EN</w:t>
                    </w:r>
                    <w:r>
                      <w:rPr>
                        <w:spacing w:val="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COMPOSANTES</w:t>
                    </w:r>
                    <w:r>
                      <w:rPr>
                        <w:spacing w:val="2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PRINCIPALES</w:t>
                    </w:r>
                    <w:r>
                      <w:rPr>
                        <w:spacing w:val="2"/>
                        <w:w w:val="105"/>
                      </w:rPr>
                      <w:t> </w:t>
                    </w:r>
                    <w:r>
                      <w:rPr>
                        <w:spacing w:val="-4"/>
                        <w:w w:val="105"/>
                      </w:rPr>
                      <w:t>(ACP)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232">
              <wp:simplePos x="0" y="0"/>
              <wp:positionH relativeFrom="page">
                <wp:posOffset>6498092</wp:posOffset>
              </wp:positionH>
              <wp:positionV relativeFrom="page">
                <wp:posOffset>404561</wp:posOffset>
              </wp:positionV>
              <wp:extent cx="212725" cy="21717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2127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660858pt;margin-top:31.855217pt;width:16.75pt;height:17.1pt;mso-position-horizontal-relative:page;mso-position-vertical-relative:page;z-index:-16053248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3744">
              <wp:simplePos x="0" y="0"/>
              <wp:positionH relativeFrom="page">
                <wp:posOffset>899998</wp:posOffset>
              </wp:positionH>
              <wp:positionV relativeFrom="page">
                <wp:posOffset>618477</wp:posOffset>
              </wp:positionV>
              <wp:extent cx="5760085" cy="1270"/>
              <wp:effectExtent l="0" t="0" r="0" b="0"/>
              <wp:wrapNone/>
              <wp:docPr id="41" name="Graphic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Graphic 4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52736" from="70.865997pt,48.699013pt" to="524.408997pt,48.699013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4256">
              <wp:simplePos x="0" y="0"/>
              <wp:positionH relativeFrom="page">
                <wp:posOffset>887298</wp:posOffset>
              </wp:positionH>
              <wp:positionV relativeFrom="page">
                <wp:posOffset>404561</wp:posOffset>
              </wp:positionV>
              <wp:extent cx="4362450" cy="21717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436245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tabs>
                              <w:tab w:pos="371" w:val="left" w:leader="none"/>
                            </w:tabs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3</w:t>
                          </w:r>
                          <w:r>
                            <w:rPr/>
                            <w:tab/>
                          </w:r>
                          <w:r>
                            <w:rPr>
                              <w:spacing w:val="-2"/>
                              <w:w w:val="105"/>
                            </w:rPr>
                            <w:t>ANALYSE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DES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CORRESPONDANCES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MULTIPLES</w:t>
                          </w:r>
                          <w:r>
                            <w:rPr>
                              <w:spacing w:val="-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(ACM)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5997pt;margin-top:31.855217pt;width:343.5pt;height:17.1pt;mso-position-horizontal-relative:page;mso-position-vertical-relative:page;z-index:-16052224" type="#_x0000_t202" id="docshape15" filled="false" stroked="false">
              <v:textbox inset="0,0,0,0">
                <w:txbxContent>
                  <w:p>
                    <w:pPr>
                      <w:pStyle w:val="BodyText"/>
                      <w:tabs>
                        <w:tab w:pos="371" w:val="left" w:leader="none"/>
                      </w:tabs>
                      <w:spacing w:before="21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3</w:t>
                    </w:r>
                    <w:r>
                      <w:rPr/>
                      <w:tab/>
                    </w:r>
                    <w:r>
                      <w:rPr>
                        <w:spacing w:val="-2"/>
                        <w:w w:val="105"/>
                      </w:rPr>
                      <w:t>ANALYSE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DES</w:t>
                    </w:r>
                    <w:r>
                      <w:rPr>
                        <w:spacing w:val="-10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CORRESPONDANCES</w:t>
                    </w:r>
                    <w:r>
                      <w:rPr>
                        <w:spacing w:val="-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MULTIPLES</w:t>
                    </w:r>
                    <w:r>
                      <w:rPr>
                        <w:spacing w:val="-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(ACM)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4768">
              <wp:simplePos x="0" y="0"/>
              <wp:positionH relativeFrom="page">
                <wp:posOffset>6472191</wp:posOffset>
              </wp:positionH>
              <wp:positionV relativeFrom="page">
                <wp:posOffset>404561</wp:posOffset>
              </wp:positionV>
              <wp:extent cx="238125" cy="21717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2381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9.621399pt;margin-top:31.855217pt;width:18.75pt;height:17.1pt;mso-position-horizontal-relative:page;mso-position-vertical-relative:page;z-index:-16051712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fr-FR" w:eastAsia="en-US" w:bidi="ar-SA"/>
      </w:rPr>
    </w:lvl>
    <w:lvl w:ilvl="1">
      <w:start w:val="0"/>
      <w:numFmt w:val="bullet"/>
      <w:lvlText w:val="—"/>
      <w:lvlJc w:val="left"/>
      <w:pPr>
        <w:ind w:left="1242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20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01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81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6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42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3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03" w:hanging="352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727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4" w:hanging="23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88" w:hanging="23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3" w:hanging="23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57" w:hanging="23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2" w:hanging="23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6" w:hanging="23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1" w:hanging="23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5" w:hanging="23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◦"/>
      <w:lvlJc w:val="left"/>
      <w:pPr>
        <w:ind w:left="727" w:hanging="23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4" w:hanging="23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88" w:hanging="23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3" w:hanging="23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57" w:hanging="23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2" w:hanging="23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6" w:hanging="23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1" w:hanging="23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5" w:hanging="237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—"/>
      <w:lvlJc w:val="left"/>
      <w:pPr>
        <w:ind w:left="727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4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88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3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57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6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61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5" w:hanging="352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—"/>
      <w:lvlJc w:val="left"/>
      <w:pPr>
        <w:ind w:left="1242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2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4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9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5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9" w:hanging="352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—"/>
      <w:lvlJc w:val="left"/>
      <w:pPr>
        <w:ind w:left="1242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2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4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9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5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9" w:hanging="352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—"/>
      <w:lvlJc w:val="left"/>
      <w:pPr>
        <w:ind w:left="1242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2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4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9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5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9" w:hanging="352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—"/>
      <w:lvlJc w:val="left"/>
      <w:pPr>
        <w:ind w:left="1242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2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4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9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5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9" w:hanging="352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—"/>
      <w:lvlJc w:val="left"/>
      <w:pPr>
        <w:ind w:left="1242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2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4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9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5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9" w:hanging="352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—"/>
      <w:lvlJc w:val="left"/>
      <w:pPr>
        <w:ind w:left="1242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2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4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9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5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9" w:hanging="352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—"/>
      <w:lvlJc w:val="left"/>
      <w:pPr>
        <w:ind w:left="1242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2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4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9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5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9" w:hanging="352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—"/>
      <w:lvlJc w:val="left"/>
      <w:pPr>
        <w:ind w:left="1242" w:hanging="387"/>
      </w:pPr>
      <w:rPr>
        <w:rFonts w:hint="default" w:ascii="Georgia" w:hAnsi="Georgia" w:eastAsia="Georgia" w:cs="Georgia"/>
        <w:spacing w:val="0"/>
        <w:w w:val="1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2" w:hanging="38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4" w:hanging="38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7" w:hanging="38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9" w:hanging="38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52" w:hanging="38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4" w:hanging="38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38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9" w:hanging="387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1242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2" w:hanging="35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4" w:hanging="35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7" w:hanging="35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9" w:hanging="35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52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9" w:hanging="352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◦"/>
      <w:lvlJc w:val="left"/>
      <w:pPr>
        <w:ind w:left="1242" w:hanging="237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88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22" w:hanging="23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04" w:hanging="23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7" w:hanging="23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69" w:hanging="23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52" w:hanging="23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34" w:hanging="23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7" w:hanging="23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99" w:hanging="237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99" w:hanging="558"/>
        <w:jc w:val="right"/>
      </w:pPr>
      <w:rPr>
        <w:rFonts w:hint="default" w:ascii="Cambria" w:hAnsi="Cambria" w:eastAsia="Cambria" w:cs="Cambria"/>
        <w:b/>
        <w:bCs/>
        <w:i w:val="0"/>
        <w:iCs w:val="0"/>
        <w:color w:val="FF0000"/>
        <w:spacing w:val="0"/>
        <w:w w:val="92"/>
        <w:sz w:val="34"/>
        <w:szCs w:val="34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860" w:hanging="719"/>
        <w:jc w:val="right"/>
      </w:pPr>
      <w:rPr>
        <w:rFonts w:hint="default" w:ascii="Georgia" w:hAnsi="Georgia" w:eastAsia="Georgia" w:cs="Georgia"/>
        <w:b/>
        <w:bCs/>
        <w:i w:val="0"/>
        <w:iCs w:val="0"/>
        <w:color w:val="000066"/>
        <w:spacing w:val="-1"/>
        <w:w w:val="110"/>
        <w:sz w:val="28"/>
        <w:szCs w:val="28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964" w:hanging="82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3">
      <w:start w:val="0"/>
      <w:numFmt w:val="bullet"/>
      <w:lvlText w:val="—"/>
      <w:lvlJc w:val="left"/>
      <w:pPr>
        <w:ind w:left="727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4">
      <w:start w:val="0"/>
      <w:numFmt w:val="bullet"/>
      <w:lvlText w:val="—"/>
      <w:lvlJc w:val="left"/>
      <w:pPr>
        <w:ind w:left="1242" w:hanging="35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40" w:hanging="35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164" w:hanging="35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889" w:hanging="35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614" w:hanging="352"/>
      </w:pPr>
      <w:rPr>
        <w:rFonts w:hint="default"/>
        <w:lang w:val="fr-FR" w:eastAsia="en-US" w:bidi="ar-SA"/>
      </w:rPr>
    </w:lvl>
  </w:abstractNum>
  <w:num w:numId="2">
    <w:abstractNumId w:val="1"/>
  </w:num>
  <w:num w:numId="14">
    <w:abstractNumId w:val="13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42" w:hanging="557"/>
      <w:outlineLvl w:val="1"/>
    </w:pPr>
    <w:rPr>
      <w:rFonts w:ascii="Cambria" w:hAnsi="Cambria" w:eastAsia="Cambria" w:cs="Cambria"/>
      <w:b/>
      <w:bCs/>
      <w:sz w:val="34"/>
      <w:szCs w:val="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446" w:hanging="719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727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right="707" w:hanging="2"/>
      <w:jc w:val="center"/>
    </w:pPr>
    <w:rPr>
      <w:rFonts w:ascii="Cambria" w:hAnsi="Cambria" w:eastAsia="Cambria" w:cs="Cambria"/>
      <w:b/>
      <w:bCs/>
      <w:sz w:val="41"/>
      <w:szCs w:val="4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242" w:hanging="352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header" Target="header3.xml"/><Relationship Id="rId21" Type="http://schemas.openxmlformats.org/officeDocument/2006/relationships/image" Target="media/image14.pn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header" Target="header4.xml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jpe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2026-02-15T00:13:21Z</dcterms:created>
  <dcterms:modified xsi:type="dcterms:W3CDTF">2026-02-15T00:13:21Z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