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28DAE0" w14:textId="77777777" w:rsidR="00DC237F" w:rsidRDefault="00DC237F" w:rsidP="00DC237F">
      <w:pPr>
        <w:pStyle w:val="Heading1"/>
      </w:pPr>
      <w:bookmarkStart w:id="0" w:name="header"/>
      <w:bookmarkStart w:id="1" w:name="Xca9519d05f20de401cad372b61eb8dcc7bcb7ab"/>
      <w:bookmarkStart w:id="2" w:name="content"/>
      <w:bookmarkEnd w:id="0"/>
      <w:r>
        <w:t>Doğan AI Lab Platform Whitepaper – AI-Powered Compliance for Saudi Arabia</w:t>
      </w:r>
    </w:p>
    <w:p w14:paraId="3361A8C1" w14:textId="77777777" w:rsidR="00DC237F" w:rsidRDefault="00DC237F" w:rsidP="00DC237F">
      <w:pPr>
        <w:pStyle w:val="Heading2"/>
      </w:pPr>
      <w:bookmarkStart w:id="3" w:name="executive-introduction"/>
      <w:r>
        <w:t>Executive Introduction</w:t>
      </w:r>
    </w:p>
    <w:p w14:paraId="4493C4BC" w14:textId="77777777" w:rsidR="00DC237F" w:rsidRDefault="00DC237F" w:rsidP="00DC237F">
      <w:pPr>
        <w:pStyle w:val="Bibliography"/>
      </w:pPr>
      <w:r>
        <w:rPr>
          <w:b/>
          <w:bCs/>
        </w:rPr>
        <w:t>Mission &amp; Vision 2030 Alignment:</w:t>
      </w:r>
      <w:r>
        <w:t xml:space="preserve"> Doğan AI Lab’s mission is to automate and localize compliance in line with Saudi Vision 2030’s digital transformation goals. The Kingdom’s Vision 2030 agenda has driven the rollout of strict new cybersecurity and data protection regulations – from the National Cybersecurity Authority’s Essential Cybersecurity Controls (ECC v2.0) to SAMA’s Cybersecurity Framework (CSF) and the Personal Data Protection Law (PDPL)</w:t>
      </w:r>
      <w:hyperlink r:id="rId10" w:anchor=":~:text=Saudi%20Arabia%E2%80%99s%20Vision%202030%20is,approaches%20%E2%80%93%20lengthy%20audits%2C%20manual">
        <w:r>
          <w:rPr>
            <w:rStyle w:val="Hyperlink"/>
          </w:rPr>
          <w:t>[1]</w:t>
        </w:r>
      </w:hyperlink>
      <w:r>
        <w:t>. Organizations across government and industry are now mandated to meet these local standards alongside global ones (ISO 27001, NIST CSF, etc.), as Saudi authorities push for a secure, tech-driven economy</w:t>
      </w:r>
      <w:hyperlink r:id="rId11" w:anchor=":~:text=,and%20compliance%20platform%20market%20share">
        <w:r>
          <w:rPr>
            <w:rStyle w:val="Hyperlink"/>
          </w:rPr>
          <w:t>[2]</w:t>
        </w:r>
      </w:hyperlink>
      <w:r>
        <w:t>. Doğan AI Lab was conceived to help achieve “audit-ready, 24/7 compliance” – enabling businesses to innovate under Vision 2030 without violating regulations.</w:t>
      </w:r>
    </w:p>
    <w:p w14:paraId="73EF4B37" w14:textId="77777777" w:rsidR="00DC237F" w:rsidRDefault="00DC237F" w:rsidP="00DC237F">
      <w:pPr>
        <w:pStyle w:val="BodyText"/>
      </w:pPr>
      <w:r>
        <w:rPr>
          <w:b/>
          <w:bCs/>
        </w:rPr>
        <w:t>Market Problem Statement:</w:t>
      </w:r>
      <w:r>
        <w:t xml:space="preserve"> Traditional compliance approaches cannot keep up with these demands. Compliance audits often rely on </w:t>
      </w:r>
      <w:r>
        <w:rPr>
          <w:b/>
          <w:bCs/>
        </w:rPr>
        <w:t>slow, manual processes</w:t>
      </w:r>
      <w:r>
        <w:t xml:space="preserve"> – assessments can drag on for months with spreadsheets and human consultants, leaving firms exposed to risks in the interim</w:t>
      </w:r>
      <w:hyperlink r:id="rId12" w:anchor=":~:text=Failure%20to%20Meet%20Data%20Encryption,risk%20errors%20in%20data%20handling">
        <w:r>
          <w:rPr>
            <w:rStyle w:val="Hyperlink"/>
          </w:rPr>
          <w:t>[3]</w:t>
        </w:r>
      </w:hyperlink>
      <w:r>
        <w:t xml:space="preserve">. At the same time, </w:t>
      </w:r>
      <w:r>
        <w:rPr>
          <w:b/>
          <w:bCs/>
        </w:rPr>
        <w:t>global GRC tools lack localization</w:t>
      </w:r>
      <w:r>
        <w:t xml:space="preserve"> – popular platforms (RSA Archer, ServiceNow, etc.) do not come pre-loaded with Saudi frameworks or Arabic support, forcing costly customizations</w:t>
      </w:r>
      <w:hyperlink r:id="rId13" w:anchor=":~:text=Stakeholders%20Hub%20,solutions%20cannot%20solve%3B%20Exceptional">
        <w:r>
          <w:rPr>
            <w:rStyle w:val="Hyperlink"/>
          </w:rPr>
          <w:t>[4]</w:t>
        </w:r>
      </w:hyperlink>
      <w:r>
        <w:t>. This results in a gap: many Saudi organizations struggle with manual compliance and generic tools that don’t fit local requirements. The stakes are high – non-compliance can mean multi-million SAR fines, licensing delays, or reputational damage</w:t>
      </w:r>
      <w:hyperlink r:id="rId14" w:anchor=":~:text=High%20Stakes%3A%20Non,and%20enterprise%20contracts%20in%20KSA">
        <w:r>
          <w:rPr>
            <w:rStyle w:val="Hyperlink"/>
          </w:rPr>
          <w:t>[5]</w:t>
        </w:r>
      </w:hyperlink>
      <w:r>
        <w:t>. Doğan AI Lab addresses this gap by providing an automated, Saudi-focused compliance solution that reduces manual effort and bridges the localization gap.</w:t>
      </w:r>
    </w:p>
    <w:p w14:paraId="3E2584E7" w14:textId="77777777" w:rsidR="00DC237F" w:rsidRDefault="00DC237F" w:rsidP="00DC237F">
      <w:pPr>
        <w:pStyle w:val="Heading2"/>
      </w:pPr>
      <w:bookmarkStart w:id="4" w:name="product-overview"/>
      <w:bookmarkEnd w:id="3"/>
      <w:r>
        <w:t>Product Overview</w:t>
      </w:r>
    </w:p>
    <w:p w14:paraId="40685893" w14:textId="77777777" w:rsidR="00DC237F" w:rsidRDefault="00DC237F" w:rsidP="00DC237F">
      <w:pPr>
        <w:pStyle w:val="FirstParagraph"/>
      </w:pPr>
      <w:r>
        <w:rPr>
          <w:b/>
          <w:bCs/>
        </w:rPr>
        <w:t>What is Doğan AI Lab?</w:t>
      </w:r>
      <w:r>
        <w:t xml:space="preserve"> It is an </w:t>
      </w:r>
      <w:r>
        <w:rPr>
          <w:b/>
          <w:bCs/>
        </w:rPr>
        <w:t>AI-driven compliance validation and risk management platform</w:t>
      </w:r>
      <w:r>
        <w:t xml:space="preserve"> purpose-built for Saudi regulations. Delivered as an integrated software-and-hardware solution, it continuously monitors an organization’s controls against local standards and automates compliance workflows</w:t>
      </w:r>
      <w:hyperlink r:id="rId15" w:anchor=":~:text=The%20Do%C4%9Fan%20AI%20Lab%20Solution,Does%20and%20How%20It%20Works">
        <w:r>
          <w:rPr>
            <w:rStyle w:val="Hyperlink"/>
          </w:rPr>
          <w:t>[6]</w:t>
        </w:r>
      </w:hyperlink>
      <w:r>
        <w:t>. The platform’s vision is to turn compliance from a periodic, painful audit exercise into a proactive, streamlined process.</w:t>
      </w:r>
    </w:p>
    <w:p w14:paraId="7E1AE441" w14:textId="77777777" w:rsidR="00DC237F" w:rsidRDefault="00DC237F" w:rsidP="00DC237F">
      <w:pPr>
        <w:pStyle w:val="BodyText"/>
      </w:pPr>
      <w:r>
        <w:rPr>
          <w:b/>
          <w:bCs/>
        </w:rPr>
        <w:t>Core Functional Layers:</w:t>
      </w:r>
      <w:r>
        <w:t xml:space="preserve"> Doğan AI Lab consists of three primary layers that work in concert:</w:t>
      </w:r>
    </w:p>
    <w:p w14:paraId="68B37E2F" w14:textId="77777777" w:rsidR="00DC237F" w:rsidRDefault="00DC237F" w:rsidP="00DC237F">
      <w:pPr>
        <w:numPr>
          <w:ilvl w:val="0"/>
          <w:numId w:val="2"/>
        </w:numPr>
      </w:pPr>
      <w:r>
        <w:rPr>
          <w:b/>
          <w:bCs/>
        </w:rPr>
        <w:t>Automated Compliance Engine:</w:t>
      </w:r>
      <w:r>
        <w:t xml:space="preserve"> The core rules engine codifies all major Saudi cybersecurity and privacy requirements and checks the organization’s environment against them in real-time. Out-of-the-box, it comes </w:t>
      </w:r>
      <w:r>
        <w:rPr>
          <w:b/>
          <w:bCs/>
        </w:rPr>
        <w:t>pre-mapped with Saudi regulations</w:t>
      </w:r>
      <w:r>
        <w:t xml:space="preserve"> – covering 100% of NCA ECC v2.0 controls and SAMA CSF controls, as </w:t>
      </w:r>
      <w:r>
        <w:lastRenderedPageBreak/>
        <w:t>well as PDPL and relevant international standards (ISO 27001, NIST 800-53, GDPR)</w:t>
      </w:r>
      <w:hyperlink r:id="rId16" w:anchor=":~:text=Automated%20Compliance%20Engine%3A%20At%20its,Any%20gaps%20are%20flagged%20instantly">
        <w:r>
          <w:rPr>
            <w:rStyle w:val="Hyperlink"/>
          </w:rPr>
          <w:t>[7]</w:t>
        </w:r>
      </w:hyperlink>
      <w:r>
        <w:t>. This means the platform “knows” all required controls (e.g. password policies, incident response plans, data encryption mandates) and can automatically assess whether the company meets them. Any compliance gaps are flagged instantly with evidence, eliminating the need to manually cross-reference lengthy checklists. This compliance engine is extensible; new regulations or updates can be added as new rule sets so that the platform stays current with evolving laws.</w:t>
      </w:r>
    </w:p>
    <w:p w14:paraId="48FCB28E" w14:textId="77777777" w:rsidR="00DC237F" w:rsidRDefault="00DC237F" w:rsidP="00DC237F">
      <w:pPr>
        <w:numPr>
          <w:ilvl w:val="0"/>
          <w:numId w:val="2"/>
        </w:numPr>
      </w:pPr>
      <w:r>
        <w:rPr>
          <w:b/>
          <w:bCs/>
        </w:rPr>
        <w:t>Vendor Risk Module:</w:t>
      </w:r>
      <w:r>
        <w:t xml:space="preserve"> Recognizing that third-party suppliers are a critical part of risk, the platform includes a dedicated </w:t>
      </w:r>
      <w:r>
        <w:rPr>
          <w:b/>
          <w:bCs/>
        </w:rPr>
        <w:t>vendor risk management module</w:t>
      </w:r>
      <w:r>
        <w:t xml:space="preserve">. It allows organizations to automate due diligence of vendors and partners. For example, a bank’s IT vendor can be sent a structured questionnaire aligned to NCA/SAMA requirements (via a secure link or API), and Doğan AI Lab will automatically ingest the responses and evidence. Using AI, it then </w:t>
      </w:r>
      <w:r>
        <w:rPr>
          <w:b/>
          <w:bCs/>
        </w:rPr>
        <w:t>scores each vendor’s compliance risk</w:t>
      </w:r>
      <w:r>
        <w:t>, highlighting high-risk suppliers and control gaps</w:t>
      </w:r>
      <w:hyperlink r:id="rId17" w:anchor=":~:text=Vendor%20%26%20Third,takes%20months%20when%20done%20manually">
        <w:r>
          <w:rPr>
            <w:rStyle w:val="Hyperlink"/>
          </w:rPr>
          <w:t>[8]</w:t>
        </w:r>
      </w:hyperlink>
      <w:r>
        <w:t>. The module can even perform external reconnaissance (like scanning for a vendor’s known vulnerabilities or breaches) to augment the risk score. This dramatically accelerates a process that typically takes months of emails and spreadsheets – now vendor assessments can be done in days with consistent rigor.</w:t>
      </w:r>
    </w:p>
    <w:p w14:paraId="215AD77E" w14:textId="77777777" w:rsidR="00DC237F" w:rsidRDefault="00DC237F" w:rsidP="00DC237F">
      <w:pPr>
        <w:numPr>
          <w:ilvl w:val="0"/>
          <w:numId w:val="2"/>
        </w:numPr>
      </w:pPr>
      <w:r>
        <w:rPr>
          <w:b/>
          <w:bCs/>
        </w:rPr>
        <w:t>Reporting &amp; Dashboard Layer:</w:t>
      </w:r>
      <w:r>
        <w:t xml:space="preserve"> All findings feed into a real-time </w:t>
      </w:r>
      <w:r>
        <w:rPr>
          <w:b/>
          <w:bCs/>
        </w:rPr>
        <w:t>reporting dashboard</w:t>
      </w:r>
      <w:r>
        <w:t xml:space="preserve"> that is bilingual (Arabic/English) and </w:t>
      </w:r>
      <w:proofErr w:type="gramStart"/>
      <w:r>
        <w:t>auditor-ready</w:t>
      </w:r>
      <w:proofErr w:type="gramEnd"/>
      <w:r>
        <w:t xml:space="preserve">. Compliance officers can monitor overall compliance status by framework, business unit, or risk level through a web-based dashboard. The system can </w:t>
      </w:r>
      <w:r>
        <w:rPr>
          <w:b/>
          <w:bCs/>
        </w:rPr>
        <w:t>generate on-demand reports in Arabic or English</w:t>
      </w:r>
      <w:r>
        <w:t xml:space="preserve"> – for example, an official report showing compliance status across all NCA ECC controls (with evidence attached) can be produced with a few clicks</w:t>
      </w:r>
      <w:hyperlink r:id="rId18" w:anchor=":~:text=Audit,Hijri%20dates%2C%20local%20regulatory%20terminology">
        <w:r>
          <w:rPr>
            <w:rStyle w:val="Hyperlink"/>
          </w:rPr>
          <w:t>[9]</w:t>
        </w:r>
      </w:hyperlink>
      <w:r>
        <w:t>. Crucially, the bilingual support means reports align with Saudi regulators’ expectations – including use of Arabic terminology and even Hijri dates if needed – building trust with local auditors</w:t>
      </w:r>
      <w:hyperlink r:id="rId19" w:anchor=":~:text=in%20Arabic%20and%20English%20%E2%80%93,confidence%20with%20boards%20and%20regulators">
        <w:r>
          <w:rPr>
            <w:rStyle w:val="Hyperlink"/>
          </w:rPr>
          <w:t>[10]</w:t>
        </w:r>
      </w:hyperlink>
      <w:r>
        <w:t xml:space="preserve">. This layer also includes alerting and analytics; if a new gap emerges or a </w:t>
      </w:r>
      <w:proofErr w:type="gramStart"/>
      <w:r>
        <w:t>control drifts</w:t>
      </w:r>
      <w:proofErr w:type="gramEnd"/>
      <w:r>
        <w:t xml:space="preserve"> out of compliance, the dashboard raises an alert so that issues can be fixed before they lead to an audit finding.</w:t>
      </w:r>
    </w:p>
    <w:p w14:paraId="3509B173" w14:textId="77777777" w:rsidR="00DC237F" w:rsidRDefault="00DC237F" w:rsidP="00DC237F">
      <w:pPr>
        <w:pStyle w:val="FirstParagraph"/>
      </w:pPr>
      <w:r>
        <w:rPr>
          <w:b/>
          <w:bCs/>
        </w:rPr>
        <w:t>Regulation Support:</w:t>
      </w:r>
      <w:r>
        <w:t xml:space="preserve"> From day one, Doğan AI Lab supports all major Saudi GRC frameworks and laws: the </w:t>
      </w:r>
      <w:r>
        <w:rPr>
          <w:b/>
          <w:bCs/>
        </w:rPr>
        <w:t>NCA Essential Cybersecurity Controls (v2.0)</w:t>
      </w:r>
      <w:r>
        <w:t xml:space="preserve"> for government and critical infrastructure, the </w:t>
      </w:r>
      <w:r>
        <w:rPr>
          <w:b/>
          <w:bCs/>
        </w:rPr>
        <w:t>SAMA CSF</w:t>
      </w:r>
      <w:r>
        <w:t xml:space="preserve"> for banking, the national </w:t>
      </w:r>
      <w:r>
        <w:rPr>
          <w:b/>
          <w:bCs/>
        </w:rPr>
        <w:t>PDPL data privacy law</w:t>
      </w:r>
      <w:r>
        <w:t>, and others. These are built into the product’s knowledge base – no configuration needed by the client</w:t>
      </w:r>
      <w:hyperlink r:id="rId20" w:anchor=":~:text=Automated%20Compliance%20Engine%3A%20At%20its,Any%20gaps%20are%20flagged%20instantly">
        <w:r>
          <w:rPr>
            <w:rStyle w:val="Hyperlink"/>
          </w:rPr>
          <w:t>[7]</w:t>
        </w:r>
      </w:hyperlink>
      <w:r>
        <w:t xml:space="preserve">. The platform also maps </w:t>
      </w:r>
      <w:proofErr w:type="gramStart"/>
      <w:r>
        <w:t>controls to</w:t>
      </w:r>
      <w:proofErr w:type="gramEnd"/>
      <w:r>
        <w:t xml:space="preserve"> widely used international frameworks like </w:t>
      </w:r>
      <w:r>
        <w:rPr>
          <w:b/>
          <w:bCs/>
        </w:rPr>
        <w:t>ISO 27001</w:t>
      </w:r>
      <w:r>
        <w:t xml:space="preserve"> and </w:t>
      </w:r>
      <w:r>
        <w:rPr>
          <w:b/>
          <w:bCs/>
        </w:rPr>
        <w:t>NIST CSF</w:t>
      </w:r>
      <w:r>
        <w:t>, helping organizations maintain compliance with global standards while meeting local requirements. In practice, this means a control implemented in Doğan AI Lab can be tagged to show compliance with multiple frameworks at once (e.g. a strong access control might satisfy both an NCA control and an ISO 27001 clause). This “map once, comply to many” approach ensures efficiency and consistency in meeting overlapping regulations</w:t>
      </w:r>
      <w:hyperlink r:id="rId21" w:anchor=":~:text=regulations%20can%20be%20added%20by,reference%20overlaps%20to%20save%20effort">
        <w:r>
          <w:rPr>
            <w:rStyle w:val="Hyperlink"/>
          </w:rPr>
          <w:t>[11]</w:t>
        </w:r>
      </w:hyperlink>
      <w:r>
        <w:t>.</w:t>
      </w:r>
    </w:p>
    <w:p w14:paraId="4FE956DA" w14:textId="77777777" w:rsidR="00DC237F" w:rsidRDefault="00DC237F" w:rsidP="00DC237F">
      <w:pPr>
        <w:pStyle w:val="Heading2"/>
      </w:pPr>
      <w:bookmarkStart w:id="5" w:name="architecture-hardware-stack"/>
      <w:bookmarkEnd w:id="4"/>
      <w:r>
        <w:lastRenderedPageBreak/>
        <w:t>Architecture &amp; Hardware Stack</w:t>
      </w:r>
    </w:p>
    <w:p w14:paraId="45B5CD60" w14:textId="77777777" w:rsidR="00DC237F" w:rsidRDefault="00DC237F" w:rsidP="00DC237F">
      <w:pPr>
        <w:pStyle w:val="FirstParagraph"/>
      </w:pPr>
      <w:r>
        <w:rPr>
          <w:i/>
          <w:iCs/>
        </w:rPr>
        <w:t>(See Figure 1 for a high-level architecture diagram)</w:t>
      </w:r>
      <w:r>
        <w:t xml:space="preserve"> </w:t>
      </w:r>
      <w:r>
        <w:rPr>
          <w:i/>
          <w:iCs/>
        </w:rPr>
        <w:t>Figure 1: Layered architecture of Doğan AI Lab: hardware appliance at the base, containerized services on top, compliance/AI engines in the middle, and the reporting &amp; analytics layer at the top.</w:t>
      </w:r>
    </w:p>
    <w:p w14:paraId="6A94B018" w14:textId="77777777" w:rsidR="00DC237F" w:rsidRDefault="00DC237F" w:rsidP="00DC237F">
      <w:pPr>
        <w:pStyle w:val="BodyText"/>
      </w:pPr>
      <w:r>
        <w:rPr>
          <w:b/>
          <w:bCs/>
        </w:rPr>
        <w:t>Layered System Design:</w:t>
      </w:r>
      <w:r>
        <w:t xml:space="preserve"> The platform architecture is designed in layers, from the physical appliance up to the user dashboard:</w:t>
      </w:r>
    </w:p>
    <w:p w14:paraId="653468DA" w14:textId="77777777" w:rsidR="00DC237F" w:rsidRDefault="00DC237F" w:rsidP="00DC237F">
      <w:pPr>
        <w:numPr>
          <w:ilvl w:val="0"/>
          <w:numId w:val="2"/>
        </w:numPr>
      </w:pPr>
      <w:r>
        <w:rPr>
          <w:b/>
          <w:bCs/>
        </w:rPr>
        <w:t>Hardware Layer:</w:t>
      </w:r>
      <w:r>
        <w:t xml:space="preserve"> Doğan AI Lab runs on a </w:t>
      </w:r>
      <w:r>
        <w:rPr>
          <w:b/>
          <w:bCs/>
        </w:rPr>
        <w:t>Compliance Validation Appliance</w:t>
      </w:r>
      <w:r>
        <w:t xml:space="preserve"> – a dedicated on-premises server optimized for AI and compliance workloads. For the MVP release, the appliance is specified with </w:t>
      </w:r>
      <w:r>
        <w:rPr>
          <w:b/>
          <w:bCs/>
        </w:rPr>
        <w:t>128 GB RAM, 10 TB SSD storage, and dual NVIDIA GPUs</w:t>
      </w:r>
      <w:r>
        <w:t>, providing ample memory, fast I/O, and GPU acceleration for machine learning</w:t>
      </w:r>
      <w:hyperlink r:id="rId22" w:anchor=":~:text=Hardware%20Appliance%20%28On,to%20comfortably%20run%20all%20services">
        <w:r>
          <w:rPr>
            <w:rStyle w:val="Hyperlink"/>
          </w:rPr>
          <w:t>[12]</w:t>
        </w:r>
      </w:hyperlink>
      <w:r>
        <w:t xml:space="preserve">. This enterprise-grade hardware (with ECC memory, </w:t>
      </w:r>
      <w:proofErr w:type="spellStart"/>
      <w:r>
        <w:t>NVMe</w:t>
      </w:r>
      <w:proofErr w:type="spellEnd"/>
      <w:r>
        <w:t xml:space="preserve"> disks, etc.) ensures the platform can store years of audit data and run heavy analytics locally. The </w:t>
      </w:r>
      <w:r>
        <w:rPr>
          <w:b/>
          <w:bCs/>
        </w:rPr>
        <w:t>appliance is meant to reside on the client’s premises</w:t>
      </w:r>
      <w:r>
        <w:t xml:space="preserve"> (e.g. data center rack or server room), which guarantees that sensitive data never leaves the organization’s control</w:t>
      </w:r>
      <w:hyperlink r:id="rId23" w:anchor=":~:text=and%20pilot%20deployments%2C%20we%20use,10TB%20is">
        <w:r>
          <w:rPr>
            <w:rStyle w:val="Hyperlink"/>
          </w:rPr>
          <w:t>[13]</w:t>
        </w:r>
      </w:hyperlink>
      <w:r>
        <w:t xml:space="preserve">. This addresses Saudi clients’ common requirements around data residency and even air-gapped operations – many government agencies and banks prefer solutions that </w:t>
      </w:r>
      <w:r>
        <w:rPr>
          <w:b/>
          <w:bCs/>
        </w:rPr>
        <w:t>run offline with no cloud dependency</w:t>
      </w:r>
      <w:r>
        <w:t xml:space="preserve"> for security</w:t>
      </w:r>
      <w:hyperlink r:id="rId24" w:anchor=":~:text=the%20client%E2%80%99s%20data%20center%20or,grade%20CPU">
        <w:r>
          <w:rPr>
            <w:rStyle w:val="Hyperlink"/>
          </w:rPr>
          <w:t>[14]</w:t>
        </w:r>
      </w:hyperlink>
      <w:r>
        <w:t xml:space="preserve">. The hardware choice reflects this: it’s powerful enough to run all components (database, AI models, dashboards) internally without needing external cloud resources. </w:t>
      </w:r>
      <w:r>
        <w:rPr>
          <w:i/>
          <w:iCs/>
        </w:rPr>
        <w:t>(Notably, the initial batch of hardware has already been ordered and is expected to arrive within ~6 weeks, underscoring that deployment is imminent)</w:t>
      </w:r>
      <w:hyperlink r:id="rId25" w:anchor=":~:text=,CUDA%20cores%20for%20ML%20inference">
        <w:r>
          <w:rPr>
            <w:rStyle w:val="Hyperlink"/>
            <w:i w:val="0"/>
            <w:iCs/>
          </w:rPr>
          <w:t>[15]</w:t>
        </w:r>
      </w:hyperlink>
      <w:r>
        <w:rPr>
          <w:i/>
          <w:iCs/>
        </w:rPr>
        <w:t>.</w:t>
      </w:r>
    </w:p>
    <w:p w14:paraId="26A74EC2" w14:textId="77777777" w:rsidR="00DC237F" w:rsidRDefault="00DC237F" w:rsidP="00DC237F">
      <w:pPr>
        <w:numPr>
          <w:ilvl w:val="0"/>
          <w:numId w:val="2"/>
        </w:numPr>
      </w:pPr>
      <w:r>
        <w:rPr>
          <w:b/>
          <w:bCs/>
        </w:rPr>
        <w:t>Services &amp; Containerization Layer:</w:t>
      </w:r>
      <w:r>
        <w:t xml:space="preserve"> On top of the hardware, the platform’s software is fully </w:t>
      </w:r>
      <w:r>
        <w:rPr>
          <w:b/>
          <w:bCs/>
        </w:rPr>
        <w:t>containerized using Docker and orchestrated by Kubernetes</w:t>
      </w:r>
      <w:r>
        <w:t>. Each core service runs in a container, which improves reliability (isolated environments), scalability, and ease of updates</w:t>
      </w:r>
      <w:hyperlink r:id="rId26" w:anchor=":~:text=Core%20Software%20Stack%3A%20On%20the,for%20integration%20to%20tools%20like">
        <w:r>
          <w:rPr>
            <w:rStyle w:val="Hyperlink"/>
          </w:rPr>
          <w:t>[16]</w:t>
        </w:r>
      </w:hyperlink>
      <w:r>
        <w:t xml:space="preserve">. Key services include the </w:t>
      </w:r>
      <w:r>
        <w:rPr>
          <w:b/>
          <w:bCs/>
        </w:rPr>
        <w:t>backend API server</w:t>
      </w:r>
      <w:r>
        <w:t xml:space="preserve"> (a Python </w:t>
      </w:r>
      <w:proofErr w:type="spellStart"/>
      <w:r>
        <w:t>FastAPI</w:t>
      </w:r>
      <w:proofErr w:type="spellEnd"/>
      <w:r>
        <w:t xml:space="preserve"> application implementing the compliance logic), the </w:t>
      </w:r>
      <w:r>
        <w:rPr>
          <w:b/>
          <w:bCs/>
        </w:rPr>
        <w:t>database</w:t>
      </w:r>
      <w:r>
        <w:t xml:space="preserve"> (PostgreSQL, chosen for its robustness in handling compliance data and audit logs</w:t>
      </w:r>
      <w:hyperlink r:id="rId27" w:anchor=":~:text=services,RBAC%29%20to%20ensure">
        <w:r>
          <w:rPr>
            <w:rStyle w:val="Hyperlink"/>
          </w:rPr>
          <w:t>[17]</w:t>
        </w:r>
      </w:hyperlink>
      <w:r>
        <w:t xml:space="preserve">), and various </w:t>
      </w:r>
      <w:r>
        <w:rPr>
          <w:b/>
          <w:bCs/>
        </w:rPr>
        <w:t>background worker</w:t>
      </w:r>
      <w:r>
        <w:t xml:space="preserve"> services for intensive tasks (such as running ML models or interfacing with external systems). Kubernetes manages these services, enabling features like auto-restart, scaling out to multiple nodes, and rolling updates. Logging and monitoring are built into this layer – for example, the appliance can integrate with </w:t>
      </w:r>
      <w:r>
        <w:rPr>
          <w:b/>
          <w:bCs/>
        </w:rPr>
        <w:t>Prometheus and Grafana</w:t>
      </w:r>
      <w:r>
        <w:t xml:space="preserve"> for real-time monitoring of system health and performance</w:t>
      </w:r>
      <w:hyperlink r:id="rId28" w:anchor=":~:text=migrating%20from%20an%20initial%20SQLite,for%20key%20storage%20in%20production">
        <w:r>
          <w:rPr>
            <w:rStyle w:val="Hyperlink"/>
          </w:rPr>
          <w:t>[18]</w:t>
        </w:r>
      </w:hyperlink>
      <w:r>
        <w:t>. Security is also ingrained here, with container-level isolation and a hardened host OS; all data at rest on the appliance is encrypted (leveraging OS-level disk encryption and potential TPM integration for key storage)</w:t>
      </w:r>
      <w:hyperlink r:id="rId29" w:anchor=":~:text=for%20heavy%20tasks%20like%20running,for%20key%20storage%20in%20production">
        <w:r>
          <w:rPr>
            <w:rStyle w:val="Hyperlink"/>
          </w:rPr>
          <w:t>[19]</w:t>
        </w:r>
      </w:hyperlink>
      <w:r>
        <w:t>.</w:t>
      </w:r>
    </w:p>
    <w:p w14:paraId="7B8540F7" w14:textId="77777777" w:rsidR="00DC237F" w:rsidRDefault="00DC237F" w:rsidP="00DC237F">
      <w:pPr>
        <w:numPr>
          <w:ilvl w:val="0"/>
          <w:numId w:val="2"/>
        </w:numPr>
      </w:pPr>
      <w:r>
        <w:rPr>
          <w:b/>
          <w:bCs/>
        </w:rPr>
        <w:t>Compliance Engine &amp; AI Layer:</w:t>
      </w:r>
      <w:r>
        <w:t xml:space="preserve"> Above the basic services lies the heart of the platform – the compliance rules engine and AI analytics. The </w:t>
      </w:r>
      <w:r>
        <w:rPr>
          <w:b/>
          <w:bCs/>
        </w:rPr>
        <w:t>rules engine</w:t>
      </w:r>
      <w:r>
        <w:t xml:space="preserve"> is essentially a knowledge base of all control checks required by each framework</w:t>
      </w:r>
      <w:hyperlink r:id="rId30" w:anchor=":~:text=Compliance%20Rules%20Engine%3A%20Our%20rules,the%20POC%2C%20we%20plan%20to">
        <w:r>
          <w:rPr>
            <w:rStyle w:val="Hyperlink"/>
          </w:rPr>
          <w:t>[20]</w:t>
        </w:r>
      </w:hyperlink>
      <w:r>
        <w:t xml:space="preserve">. </w:t>
      </w:r>
      <w:r>
        <w:lastRenderedPageBreak/>
        <w:t xml:space="preserve">It contains machine-readable definitions of each control (e.g. “Password length must be ≥12 and changed every 90 days” or “An incident response plan document must exist and be reviewed annually”) and the method to validate it. Some controls are checked via technical means – e.g. scripts that audit configurations on servers, or integrations with Active Directory to pull password policy settings. Other controls are procedural and handled via the platform’s questionnaires or document uploads. The engine was built to be </w:t>
      </w:r>
      <w:r>
        <w:rPr>
          <w:b/>
          <w:bCs/>
        </w:rPr>
        <w:t>extensible</w:t>
      </w:r>
      <w:r>
        <w:t xml:space="preserve">, so new frameworks can be added by plugging in new control libraries. During the POC phase, the team is already incorporating additional standards like </w:t>
      </w:r>
      <w:r>
        <w:rPr>
          <w:b/>
          <w:bCs/>
        </w:rPr>
        <w:t>ISO 27001 and NIST 800-53</w:t>
      </w:r>
      <w:r>
        <w:t xml:space="preserve"> into the engine, and mapping overlaps so that evidence can be reused across frameworks</w:t>
      </w:r>
      <w:hyperlink r:id="rId31" w:anchor=":~:text=regulations%20can%20be%20added%20by,reference%20overlaps%20to%20save%20effort">
        <w:r>
          <w:rPr>
            <w:rStyle w:val="Hyperlink"/>
          </w:rPr>
          <w:t>[11]</w:t>
        </w:r>
      </w:hyperlink>
      <w:r>
        <w:t xml:space="preserve">. Alongside the rules, the </w:t>
      </w:r>
      <w:r>
        <w:rPr>
          <w:b/>
          <w:bCs/>
        </w:rPr>
        <w:t>AI/ML sub-layer</w:t>
      </w:r>
      <w:r>
        <w:t xml:space="preserve"> uses machine learning (</w:t>
      </w:r>
      <w:proofErr w:type="spellStart"/>
      <w:r>
        <w:t>PyTorch</w:t>
      </w:r>
      <w:proofErr w:type="spellEnd"/>
      <w:r>
        <w:t>-based models running on the GPUs) for advanced risk analytics. For example, anomaly detection models learn the normal pattern of compliance activities and can flag unusual deviations (say, a critical security control suddenly failing or a vendor’s risk score spiking)</w:t>
      </w:r>
      <w:hyperlink r:id="rId32" w:anchor=":~:text=AI%2FML%20Risk%20Analytics%3A%20Beyond%20rule,looking%20risk%20management%20activity">
        <w:r>
          <w:rPr>
            <w:rStyle w:val="Hyperlink"/>
          </w:rPr>
          <w:t>[21]</w:t>
        </w:r>
      </w:hyperlink>
      <w:r>
        <w:t xml:space="preserve">. The AI also provides </w:t>
      </w:r>
      <w:r>
        <w:rPr>
          <w:b/>
          <w:bCs/>
        </w:rPr>
        <w:t>predictive scoring</w:t>
      </w:r>
      <w:r>
        <w:t>, forecasting which compliance areas are likely to fall out of compliance next based on trends, so management can act preemptively. These AI insights augment the rule-based checks with a forward-looking risk perspective, turning compliance management into a more proactive discipline</w:t>
      </w:r>
      <w:hyperlink r:id="rId33" w:anchor=":~:text=AI%2FML%20Risk%20Analytics%3A%20Beyond%20rule,looking%20risk%20management%20activity">
        <w:r>
          <w:rPr>
            <w:rStyle w:val="Hyperlink"/>
          </w:rPr>
          <w:t>[21]</w:t>
        </w:r>
      </w:hyperlink>
      <w:r>
        <w:t>.</w:t>
      </w:r>
    </w:p>
    <w:p w14:paraId="421A316D" w14:textId="77777777" w:rsidR="00DC237F" w:rsidRDefault="00DC237F" w:rsidP="00DC237F">
      <w:pPr>
        <w:numPr>
          <w:ilvl w:val="0"/>
          <w:numId w:val="2"/>
        </w:numPr>
      </w:pPr>
      <w:r>
        <w:rPr>
          <w:b/>
          <w:bCs/>
        </w:rPr>
        <w:t>Reporting &amp; Dashboard Layer:</w:t>
      </w:r>
      <w:r>
        <w:t xml:space="preserve"> At the top is the user-facing layer – a </w:t>
      </w:r>
      <w:r>
        <w:rPr>
          <w:b/>
          <w:bCs/>
        </w:rPr>
        <w:t>web-based dashboard</w:t>
      </w:r>
      <w:r>
        <w:t xml:space="preserve"> built with React.js (using a modern UI toolkit for sleek design)</w:t>
      </w:r>
      <w:hyperlink r:id="rId34" w:anchor=":~:text=Web%20Dashboard%20UI%3A%20The%20front,example%20of%20our%20value%3A%20a">
        <w:r>
          <w:rPr>
            <w:rStyle w:val="Hyperlink"/>
          </w:rPr>
          <w:t>[22]</w:t>
        </w:r>
      </w:hyperlink>
      <w:r>
        <w:t xml:space="preserve">. Users (compliance officers, IT admins, auditors, etc.) access the dashboard via browser to get a live view of compliance status. This UI is fully </w:t>
      </w:r>
      <w:r>
        <w:rPr>
          <w:b/>
          <w:bCs/>
        </w:rPr>
        <w:t>bilingual</w:t>
      </w:r>
      <w:r>
        <w:t>, allowing users to switch between English and Arabic on the fly</w:t>
      </w:r>
      <w:hyperlink r:id="rId35" w:anchor=":~:text=Web%20Dashboard%20UI%3A%20The%20front,example%20of%20our%20value%3A%20a">
        <w:r>
          <w:rPr>
            <w:rStyle w:val="Hyperlink"/>
          </w:rPr>
          <w:t>[22]</w:t>
        </w:r>
      </w:hyperlink>
      <w:r>
        <w:t xml:space="preserve">. All content (control names, field labels, reports) is available in both languages, ensuring usability for Arabic-speaking stakeholders. The dashboard provides intuitive visualizations: overall compliance scores by framework, trend charts over time, heat maps of high-risk areas, and </w:t>
      </w:r>
      <w:proofErr w:type="gramStart"/>
      <w:r>
        <w:t>drill-downs</w:t>
      </w:r>
      <w:proofErr w:type="gramEnd"/>
      <w:r>
        <w:t xml:space="preserve"> into specific controls or assets. It also features role-based access control – e.g. a bank’s branch manager might only see their branch’s compliance, whereas a CISO sees the aggregate. </w:t>
      </w:r>
      <w:r>
        <w:rPr>
          <w:b/>
          <w:bCs/>
        </w:rPr>
        <w:t>Reports</w:t>
      </w:r>
      <w:r>
        <w:t xml:space="preserve"> can be generated in multiple formats (PDF, Excel) and are </w:t>
      </w:r>
      <w:r>
        <w:rPr>
          <w:b/>
          <w:bCs/>
        </w:rPr>
        <w:t>audit-ready in Arabic or English</w:t>
      </w:r>
      <w:r>
        <w:t>, as noted earlier</w:t>
      </w:r>
      <w:hyperlink r:id="rId36" w:anchor=":~:text=Audit,Hijri%20dates%2C%20local%20regulatory%20terminology">
        <w:r>
          <w:rPr>
            <w:rStyle w:val="Hyperlink"/>
          </w:rPr>
          <w:t>[9]</w:t>
        </w:r>
      </w:hyperlink>
      <w:r>
        <w:t>. The dashboard layer is designed to be executive-friendly: for example, it can show a single composite “Compliance Index” for the organization, or a red/yellow/green status for each domain, which board members and regulators find easy to grasp. Under the hood, everything in the UI is also accessible via REST APIs, so the platform can integrate its outputs into other tools (more on integration below).</w:t>
      </w:r>
    </w:p>
    <w:p w14:paraId="01E6F972" w14:textId="77777777" w:rsidR="00DC237F" w:rsidRDefault="00DC237F" w:rsidP="00DC237F">
      <w:pPr>
        <w:pStyle w:val="FirstParagraph"/>
      </w:pPr>
      <w:r>
        <w:rPr>
          <w:b/>
          <w:bCs/>
        </w:rPr>
        <w:t>Architecture Diagram:</w:t>
      </w:r>
      <w:r>
        <w:t xml:space="preserve"> The system can be visualized as a stack of layers – hardware at bottom, containerized services above it, the compliance engine and AI modules in the middle, and the dashboard/reporting layer at top (see </w:t>
      </w:r>
      <w:r>
        <w:rPr>
          <w:b/>
          <w:bCs/>
        </w:rPr>
        <w:t>Figure 1</w:t>
      </w:r>
      <w:r>
        <w:t xml:space="preserve"> above). This modular architecture ensures each layer can evolve (e.g. swap database or scale the web servers) </w:t>
      </w:r>
      <w:r>
        <w:lastRenderedPageBreak/>
        <w:t xml:space="preserve">without affecting </w:t>
      </w:r>
      <w:proofErr w:type="gramStart"/>
      <w:r>
        <w:t>others, and</w:t>
      </w:r>
      <w:proofErr w:type="gramEnd"/>
      <w:r>
        <w:t xml:space="preserve"> makes the system </w:t>
      </w:r>
      <w:r>
        <w:rPr>
          <w:b/>
          <w:bCs/>
        </w:rPr>
        <w:t>deployable in various models</w:t>
      </w:r>
      <w:r>
        <w:t xml:space="preserve"> – from a single-appliance pilot to a multi-node clustered deployment.</w:t>
      </w:r>
    </w:p>
    <w:p w14:paraId="14FC2B89" w14:textId="77777777" w:rsidR="00DC237F" w:rsidRDefault="00DC237F" w:rsidP="00DC237F">
      <w:pPr>
        <w:pStyle w:val="BodyText"/>
      </w:pPr>
      <w:r>
        <w:rPr>
          <w:b/>
          <w:bCs/>
        </w:rPr>
        <w:t>Hardware Configurations &amp; Deployment Models:</w:t>
      </w:r>
      <w:r>
        <w:t xml:space="preserve"> We envisage three main deployment scenarios as the platform matures:</w:t>
      </w:r>
    </w:p>
    <w:p w14:paraId="291EE530" w14:textId="77777777" w:rsidR="00DC237F" w:rsidRDefault="00DC237F" w:rsidP="00DC237F">
      <w:pPr>
        <w:numPr>
          <w:ilvl w:val="0"/>
          <w:numId w:val="2"/>
        </w:numPr>
      </w:pPr>
      <w:r>
        <w:rPr>
          <w:b/>
          <w:bCs/>
        </w:rPr>
        <w:t>MVP (Single Appliance):</w:t>
      </w:r>
      <w:r>
        <w:t xml:space="preserve"> In the minimum viable product phase, a single Compliance Appliance is used </w:t>
      </w:r>
      <w:proofErr w:type="gramStart"/>
      <w:r>
        <w:t>at</w:t>
      </w:r>
      <w:proofErr w:type="gramEnd"/>
      <w:r>
        <w:t xml:space="preserve"> the client. This one box contains everything needed and can handle an entire mid-sized organization’s compliance workload. As noted, the MVP hardware (128GB RAM, 10TB SSD, dual GPU) has been secured and is arriving in 6 weeks</w:t>
      </w:r>
      <w:hyperlink r:id="rId37" w:anchor=":~:text=,CUDA%20cores%20for%20ML%20inference">
        <w:r>
          <w:rPr>
            <w:rStyle w:val="Hyperlink"/>
          </w:rPr>
          <w:t>[15]</w:t>
        </w:r>
      </w:hyperlink>
      <w:r>
        <w:t>. This will be used in initial pilots.</w:t>
      </w:r>
    </w:p>
    <w:p w14:paraId="214B38AF" w14:textId="77777777" w:rsidR="00DC237F" w:rsidRDefault="00DC237F" w:rsidP="00DC237F">
      <w:pPr>
        <w:numPr>
          <w:ilvl w:val="0"/>
          <w:numId w:val="2"/>
        </w:numPr>
      </w:pPr>
      <w:r>
        <w:rPr>
          <w:b/>
          <w:bCs/>
        </w:rPr>
        <w:t>Pilot Cluster (2–3 Node POC):</w:t>
      </w:r>
      <w:r>
        <w:t xml:space="preserve"> For proof-of-concept with larger organizations, multiple appliances can be clustered to provide </w:t>
      </w:r>
      <w:r>
        <w:rPr>
          <w:b/>
          <w:bCs/>
        </w:rPr>
        <w:t>high availability and failover</w:t>
      </w:r>
      <w:hyperlink r:id="rId38" w:anchor=":~:text=POC%20in%208%20Weeks%20%28post,have%20the%20resilience%20and%20feature">
        <w:r>
          <w:rPr>
            <w:rStyle w:val="Hyperlink"/>
          </w:rPr>
          <w:t>[23]</w:t>
        </w:r>
      </w:hyperlink>
      <w:r>
        <w:t>. In a 2–3 node cluster, if one appliance goes down, the others can continue, and compliance data is replicated for resilience. The POC phase plan (post-MVP) is to deploy such a cluster to simulate an enterprise environment and ensure the solution can scale and handle redundancy</w:t>
      </w:r>
      <w:hyperlink r:id="rId39" w:anchor=":~:text=POC%20in%208%20Weeks%20%28post,have%20the%20resilience%20and%20feature">
        <w:r>
          <w:rPr>
            <w:rStyle w:val="Hyperlink"/>
          </w:rPr>
          <w:t>[23]</w:t>
        </w:r>
      </w:hyperlink>
      <w:r>
        <w:t xml:space="preserve">. This also </w:t>
      </w:r>
      <w:proofErr w:type="gramStart"/>
      <w:r>
        <w:t>helps</w:t>
      </w:r>
      <w:proofErr w:type="gramEnd"/>
      <w:r>
        <w:t xml:space="preserve"> test load balancing the compliance scans and the distributed execution of AI models across nodes.</w:t>
      </w:r>
    </w:p>
    <w:p w14:paraId="5DCA47AC" w14:textId="77777777" w:rsidR="00DC237F" w:rsidRDefault="00DC237F" w:rsidP="00DC237F">
      <w:pPr>
        <w:numPr>
          <w:ilvl w:val="0"/>
          <w:numId w:val="2"/>
        </w:numPr>
      </w:pPr>
      <w:r>
        <w:rPr>
          <w:b/>
          <w:bCs/>
        </w:rPr>
        <w:t>Production at Scale:</w:t>
      </w:r>
      <w:r>
        <w:t xml:space="preserve"> In full production, the architecture supports a </w:t>
      </w:r>
      <w:r>
        <w:rPr>
          <w:b/>
          <w:bCs/>
        </w:rPr>
        <w:t>distributed fleet of appliances</w:t>
      </w:r>
      <w:r>
        <w:t xml:space="preserve"> or a hybrid model. For instance, a large enterprise or government could deploy one appliance per region or per major department, all syncing to provide an enterprise-wide view. Appliances could also </w:t>
      </w:r>
      <w:proofErr w:type="gramStart"/>
      <w:r>
        <w:t>be rack-mounted</w:t>
      </w:r>
      <w:proofErr w:type="gramEnd"/>
      <w:r>
        <w:t xml:space="preserve"> in a data center for larger capacity. In hybrid scenarios, organizations with existing private clouds could run Doğan AI Lab’s components in VMs or on Kubernetes clusters on their infrastructure, with or without the physical appliance. The solution is also </w:t>
      </w:r>
      <w:r>
        <w:rPr>
          <w:b/>
          <w:bCs/>
        </w:rPr>
        <w:t>“air-gapped ready”</w:t>
      </w:r>
      <w:r>
        <w:t xml:space="preserve"> – it can run with no internet connectivity if needed (updates can be provided through offline packages), which is vital for highly secure and classified environments. </w:t>
      </w:r>
      <w:r>
        <w:rPr>
          <w:b/>
          <w:bCs/>
        </w:rPr>
        <w:t>On-premises deployment</w:t>
      </w:r>
      <w:r>
        <w:t xml:space="preserve"> is the primary model, but for clients who are open to cloud, a private cloud or SaaS deployment in a local data center (e.g. STC or Aramco’s cloud) is also possible – the system’s containerized nature allows flexible packaging for different infrastructures.</w:t>
      </w:r>
    </w:p>
    <w:p w14:paraId="342C70DE" w14:textId="77777777" w:rsidR="00DC237F" w:rsidRDefault="00DC237F" w:rsidP="00DC237F">
      <w:pPr>
        <w:pStyle w:val="FirstParagraph"/>
      </w:pPr>
      <w:r>
        <w:t>In all models, Doğan AI Lab maintains the same core functionality – the differences are mainly in how many appliances and how they integrate with the client’s IT environment. This flexibility ensures the platform can serve everything from a single-bank deployment to a nationwide rollout across government agencies.</w:t>
      </w:r>
    </w:p>
    <w:p w14:paraId="27F2D742" w14:textId="77777777" w:rsidR="00DC237F" w:rsidRDefault="00DC237F" w:rsidP="00DC237F">
      <w:pPr>
        <w:pStyle w:val="Heading2"/>
      </w:pPr>
      <w:bookmarkStart w:id="6" w:name="technical-stack"/>
      <w:bookmarkEnd w:id="5"/>
      <w:r>
        <w:t>Technical Stack</w:t>
      </w:r>
    </w:p>
    <w:p w14:paraId="2A38B3F4" w14:textId="77777777" w:rsidR="00DC237F" w:rsidRDefault="00DC237F" w:rsidP="00DC237F">
      <w:pPr>
        <w:pStyle w:val="FirstParagraph"/>
      </w:pPr>
      <w:r>
        <w:t>Doğan AI Lab is built with a modern, scalable tech stack that prioritizes performance, security, and ease of integration:</w:t>
      </w:r>
    </w:p>
    <w:p w14:paraId="5C5C5B39" w14:textId="77777777" w:rsidR="00DC237F" w:rsidRDefault="00DC237F" w:rsidP="00DC237F">
      <w:pPr>
        <w:numPr>
          <w:ilvl w:val="0"/>
          <w:numId w:val="2"/>
        </w:numPr>
      </w:pPr>
      <w:r>
        <w:rPr>
          <w:b/>
          <w:bCs/>
        </w:rPr>
        <w:t>Backend:</w:t>
      </w:r>
      <w:r>
        <w:t xml:space="preserve"> The server side is developed in </w:t>
      </w:r>
      <w:r>
        <w:rPr>
          <w:b/>
          <w:bCs/>
        </w:rPr>
        <w:t>Python</w:t>
      </w:r>
      <w:r>
        <w:t xml:space="preserve">, leveraging the lightweight </w:t>
      </w:r>
      <w:proofErr w:type="spellStart"/>
      <w:r>
        <w:rPr>
          <w:b/>
          <w:bCs/>
        </w:rPr>
        <w:t>FastAPI</w:t>
      </w:r>
      <w:proofErr w:type="spellEnd"/>
      <w:r>
        <w:t xml:space="preserve"> framework to expose RESTful APIs. Python was chosen for its rich </w:t>
      </w:r>
      <w:r>
        <w:lastRenderedPageBreak/>
        <w:t xml:space="preserve">ecosystem in cybersecurity and data science – enabling quick implementation of compliance logic and machine learning models. </w:t>
      </w:r>
      <w:proofErr w:type="spellStart"/>
      <w:r>
        <w:t>FastAPI</w:t>
      </w:r>
      <w:proofErr w:type="spellEnd"/>
      <w:r>
        <w:t xml:space="preserve"> provides high performance (built on async I/O) and automatic interactive API docs, which aids in integration. The backend hosts the compliance rules engine and orchestrates scans, analyses, and report generation</w:t>
      </w:r>
      <w:hyperlink r:id="rId40" w:anchor=":~:text=Core%20Software%20Stack%3A%20On%20the,for%20integration%20to%20tools%20like">
        <w:r>
          <w:rPr>
            <w:rStyle w:val="Hyperlink"/>
          </w:rPr>
          <w:t>[16]</w:t>
        </w:r>
      </w:hyperlink>
      <w:r>
        <w:t xml:space="preserve">. Business logic is organized into modules handling different frameworks (for maintainability), and </w:t>
      </w:r>
      <w:proofErr w:type="spellStart"/>
      <w:r>
        <w:t>Pydantic</w:t>
      </w:r>
      <w:proofErr w:type="spellEnd"/>
      <w:r>
        <w:t xml:space="preserve"> data models ensure robust input validation – important for security.</w:t>
      </w:r>
    </w:p>
    <w:p w14:paraId="5E2493C4" w14:textId="77777777" w:rsidR="00DC237F" w:rsidRDefault="00DC237F" w:rsidP="00DC237F">
      <w:pPr>
        <w:numPr>
          <w:ilvl w:val="0"/>
          <w:numId w:val="2"/>
        </w:numPr>
      </w:pPr>
      <w:r>
        <w:rPr>
          <w:b/>
          <w:bCs/>
        </w:rPr>
        <w:t>Database:</w:t>
      </w:r>
      <w:r>
        <w:t xml:space="preserve"> </w:t>
      </w:r>
      <w:r>
        <w:rPr>
          <w:b/>
          <w:bCs/>
        </w:rPr>
        <w:t>PostgreSQL</w:t>
      </w:r>
      <w:r>
        <w:t xml:space="preserve"> is used as the core database for storing control libraries, compliance findings, user data, and audit logs</w:t>
      </w:r>
      <w:hyperlink r:id="rId41" w:anchor=":~:text=services,RBAC%29%20to%20ensure">
        <w:r>
          <w:rPr>
            <w:rStyle w:val="Hyperlink"/>
          </w:rPr>
          <w:t>[17]</w:t>
        </w:r>
      </w:hyperlink>
      <w:r>
        <w:t xml:space="preserve">. PostgreSQL offers </w:t>
      </w:r>
      <w:proofErr w:type="gramStart"/>
      <w:r>
        <w:t>the reliability</w:t>
      </w:r>
      <w:proofErr w:type="gramEnd"/>
      <w:r>
        <w:t xml:space="preserve"> and ACID compliance needed for an audit system of record. It can also store JSON documents (handy for storing structured evidence or questionnaire responses). For the MVP, a simpler SQLite was used in early development, but we migrated to PostgreSQL to support multi-user access and larger scale in the POC</w:t>
      </w:r>
      <w:hyperlink r:id="rId42" w:anchor=":~:text=services,RBAC%29%20to%20ensure">
        <w:r>
          <w:rPr>
            <w:rStyle w:val="Hyperlink"/>
          </w:rPr>
          <w:t>[17]</w:t>
        </w:r>
      </w:hyperlink>
      <w:r>
        <w:t>. All sensitive data in the DB (like findings, vendor info) is encrypted at rest. We also considered and enabled full-text search indices for quickly querying compliance records (useful for auditors searching past reports).</w:t>
      </w:r>
    </w:p>
    <w:p w14:paraId="3C459BEC" w14:textId="77777777" w:rsidR="00DC237F" w:rsidRDefault="00DC237F" w:rsidP="00DC237F">
      <w:pPr>
        <w:numPr>
          <w:ilvl w:val="0"/>
          <w:numId w:val="2"/>
        </w:numPr>
      </w:pPr>
      <w:r>
        <w:rPr>
          <w:b/>
          <w:bCs/>
        </w:rPr>
        <w:t>Frontend:</w:t>
      </w:r>
      <w:r>
        <w:t xml:space="preserve"> A </w:t>
      </w:r>
      <w:r>
        <w:rPr>
          <w:b/>
          <w:bCs/>
        </w:rPr>
        <w:t>React.js</w:t>
      </w:r>
      <w:r>
        <w:t xml:space="preserve"> single-page application constitutes the front-end UI</w:t>
      </w:r>
      <w:hyperlink r:id="rId43" w:anchor=":~:text=Web%20Dashboard%20UI%3A%20The%20front,example%20of%20our%20value%3A%20a">
        <w:r>
          <w:rPr>
            <w:rStyle w:val="Hyperlink"/>
          </w:rPr>
          <w:t>[22]</w:t>
        </w:r>
      </w:hyperlink>
      <w:r>
        <w:t xml:space="preserve">. It utilizes a component library (Material-UI) to ensure a responsive and professional design. The front-end communicates with the backend via the REST API, updating the dashboard views dynamically. </w:t>
      </w:r>
      <w:r>
        <w:rPr>
          <w:b/>
          <w:bCs/>
        </w:rPr>
        <w:t>Arabic and English support</w:t>
      </w:r>
      <w:r>
        <w:t xml:space="preserve"> is built-in – we implemented internationalization (i18n) such that all text elements have translations. The user can toggle language, which instantly flips the interface and data labels to Arabic or English. This bilingual UX design was critical; as noted earlier, many local regulators insist on Arabic documentation, and many end-users are Arabic speakers</w:t>
      </w:r>
      <w:hyperlink r:id="rId44" w:anchor=":~:text=%E2%9C%85%20Bilingual%20UI%20and%20reports,audit%20reports%20ready%20for%20regulators">
        <w:r>
          <w:rPr>
            <w:rStyle w:val="Hyperlink"/>
          </w:rPr>
          <w:t>[24]</w:t>
        </w:r>
      </w:hyperlink>
      <w:r>
        <w:t>. We also included locale settings like Hijri date display for reports when needed. The UI is tested on multiple browsers and in right-to-left layout for Arabic to ensure it’s intuitive in both languages.</w:t>
      </w:r>
    </w:p>
    <w:p w14:paraId="557B7EC8" w14:textId="77777777" w:rsidR="00DC237F" w:rsidRDefault="00DC237F" w:rsidP="00DC237F">
      <w:pPr>
        <w:numPr>
          <w:ilvl w:val="0"/>
          <w:numId w:val="2"/>
        </w:numPr>
      </w:pPr>
      <w:r>
        <w:rPr>
          <w:b/>
          <w:bCs/>
        </w:rPr>
        <w:t>Infrastructure &amp; DevOps:</w:t>
      </w:r>
      <w:r>
        <w:t xml:space="preserve"> The product is containerized with </w:t>
      </w:r>
      <w:r>
        <w:rPr>
          <w:b/>
          <w:bCs/>
        </w:rPr>
        <w:t>Docker</w:t>
      </w:r>
      <w:r>
        <w:t xml:space="preserve"> and deployed via </w:t>
      </w:r>
      <w:r>
        <w:rPr>
          <w:b/>
          <w:bCs/>
        </w:rPr>
        <w:t>Kubernetes</w:t>
      </w:r>
      <w:r>
        <w:t xml:space="preserve">. This choice accelerates development and ensures consistency across environments – the same Docker images run on a developer’s laptop or on the target appliance cluster. Kubernetes handles service discovery (important when scaling to multiple appliances) and self-healing of services. For continuous integration, we use GitHub Actions to build and scan images (including security scans for vulnerabilities in dependencies). Deployment manifests (Helm charts) define the appliance’s software stack so updates can be rolled out transactionally. We’ve built in </w:t>
      </w:r>
      <w:r>
        <w:rPr>
          <w:b/>
          <w:bCs/>
        </w:rPr>
        <w:t>secure logging and monitoring</w:t>
      </w:r>
      <w:r>
        <w:t xml:space="preserve"> hooks: each container outputs structured logs which can be forwarded to a SIEM or to the built-in Prometheus/Grafana stack for monitoring the appliance health</w:t>
      </w:r>
      <w:hyperlink r:id="rId45" w:anchor=":~:text=migrating%20from%20an%20initial%20SQLite,for%20key%20storage%20in%20production">
        <w:r>
          <w:rPr>
            <w:rStyle w:val="Hyperlink"/>
          </w:rPr>
          <w:t>[18]</w:t>
        </w:r>
      </w:hyperlink>
      <w:r>
        <w:t xml:space="preserve">. Alerts can be set (e.g. if CPU is maxed out during a scan, or if an error occurs in </w:t>
      </w:r>
      <w:proofErr w:type="gramStart"/>
      <w:r>
        <w:t>a rules</w:t>
      </w:r>
      <w:proofErr w:type="gramEnd"/>
      <w:r>
        <w:t xml:space="preserve"> check, etc.). The platform also emphasizes security in DevOps – images are minimal (based on Alpine) and all secrets (like API keys for integration) are managed via Kubernetes secrets, which can optionally tie into hardware TPM on the appliance.</w:t>
      </w:r>
    </w:p>
    <w:p w14:paraId="7DBB9485" w14:textId="77777777" w:rsidR="00DC237F" w:rsidRDefault="00DC237F" w:rsidP="00DC237F">
      <w:pPr>
        <w:numPr>
          <w:ilvl w:val="0"/>
          <w:numId w:val="2"/>
        </w:numPr>
      </w:pPr>
      <w:r>
        <w:rPr>
          <w:b/>
          <w:bCs/>
        </w:rPr>
        <w:lastRenderedPageBreak/>
        <w:t>AI/ML Layer:</w:t>
      </w:r>
      <w:r>
        <w:t xml:space="preserve"> Doğan AI Lab’s advanced analytics are powered by Python’s data science stack, primarily </w:t>
      </w:r>
      <w:proofErr w:type="spellStart"/>
      <w:r>
        <w:rPr>
          <w:b/>
          <w:bCs/>
        </w:rPr>
        <w:t>PyTorch</w:t>
      </w:r>
      <w:proofErr w:type="spellEnd"/>
      <w:r>
        <w:t xml:space="preserve"> for machine learning models. The appliance’s </w:t>
      </w:r>
      <w:r>
        <w:rPr>
          <w:b/>
          <w:bCs/>
        </w:rPr>
        <w:t>GPUs (NVIDIA)</w:t>
      </w:r>
      <w:r>
        <w:t xml:space="preserve"> enable us to use deep learning models for anomaly detection and classification tasks on compliance data</w:t>
      </w:r>
      <w:hyperlink r:id="rId46" w:anchor=":~:text=AI%2FML%20Risk%20Analytics%3A%20Beyond%20rule,looking%20risk%20management%20activity">
        <w:r>
          <w:rPr>
            <w:rStyle w:val="Hyperlink"/>
          </w:rPr>
          <w:t>[21]</w:t>
        </w:r>
      </w:hyperlink>
      <w:r>
        <w:t xml:space="preserve">. For example, we have prototyped a neural network that ingests time-series data of compliance scores and IT events to predict which controls are likely to fail soon – effectively an “early warning” for compliance drift. Another model clusters vendors by risk patterns to identify outliers (flagging a vendor that behaves riskier than its peers). These models are served through the </w:t>
      </w:r>
      <w:proofErr w:type="spellStart"/>
      <w:r>
        <w:t>FastAPI</w:t>
      </w:r>
      <w:proofErr w:type="spellEnd"/>
      <w:r>
        <w:t xml:space="preserve"> backend using async inference calls, taking advantage of GPU acceleration for quick results. The ML components are containerized as well (with the </w:t>
      </w:r>
      <w:proofErr w:type="spellStart"/>
      <w:r>
        <w:t>PyTorch</w:t>
      </w:r>
      <w:proofErr w:type="spellEnd"/>
      <w:r>
        <w:t xml:space="preserve"> runtime), and we plan to continuously improve them with more data. As more compliance data is collected (under strict privacy, since it’s on the client’s appliance), the models can be refined for even more accurate risk predictions. We also align our AI features with emerging </w:t>
      </w:r>
      <w:r>
        <w:rPr>
          <w:b/>
          <w:bCs/>
        </w:rPr>
        <w:t>AI regulations and ethics</w:t>
      </w:r>
      <w:r>
        <w:t xml:space="preserve"> – for instance, ensuring our AI decisions (like risk scores) can be explained and are transparent, which is increasingly expected by regulators</w:t>
      </w:r>
      <w:hyperlink r:id="rId47" w:anchor=":~:text=technologies%20is%20significantly%20supporting%20the,known%20companies">
        <w:r>
          <w:rPr>
            <w:rStyle w:val="Hyperlink"/>
          </w:rPr>
          <w:t>[25]</w:t>
        </w:r>
      </w:hyperlink>
      <w:r>
        <w:t>.</w:t>
      </w:r>
    </w:p>
    <w:p w14:paraId="203DB8AA" w14:textId="77777777" w:rsidR="00DC237F" w:rsidRDefault="00DC237F" w:rsidP="00DC237F">
      <w:pPr>
        <w:pStyle w:val="FirstParagraph"/>
      </w:pPr>
      <w:r>
        <w:t>In summary, the technical stack of Doğan AI Lab marries proven enterprise tech (Postgres, Docker/K8s) with cutting-edge AI capabilities (</w:t>
      </w:r>
      <w:proofErr w:type="spellStart"/>
      <w:r>
        <w:t>PyTorch</w:t>
      </w:r>
      <w:proofErr w:type="spellEnd"/>
      <w:r>
        <w:t xml:space="preserve"> on GPUs) and a user-centric front end (React with full Arabic support). This combination allows the platform to be both </w:t>
      </w:r>
      <w:r>
        <w:rPr>
          <w:b/>
          <w:bCs/>
        </w:rPr>
        <w:t>robust and innovative</w:t>
      </w:r>
      <w:r>
        <w:t xml:space="preserve"> – reliable for critical compliance </w:t>
      </w:r>
      <w:proofErr w:type="gramStart"/>
      <w:r>
        <w:t>tasks, yet</w:t>
      </w:r>
      <w:proofErr w:type="gramEnd"/>
      <w:r>
        <w:t xml:space="preserve"> continuously improving through AI and modern development practices.</w:t>
      </w:r>
    </w:p>
    <w:p w14:paraId="7AE21F75" w14:textId="77777777" w:rsidR="00DC237F" w:rsidRDefault="00DC237F" w:rsidP="00DC237F">
      <w:pPr>
        <w:pStyle w:val="Heading2"/>
      </w:pPr>
      <w:bookmarkStart w:id="7" w:name="market-context"/>
      <w:bookmarkEnd w:id="6"/>
      <w:r>
        <w:t>Market Context</w:t>
      </w:r>
    </w:p>
    <w:p w14:paraId="4FDDB334" w14:textId="77777777" w:rsidR="00DC237F" w:rsidRDefault="00DC237F" w:rsidP="00DC237F">
      <w:pPr>
        <w:pStyle w:val="FirstParagraph"/>
      </w:pPr>
      <w:r>
        <w:rPr>
          <w:b/>
          <w:bCs/>
        </w:rPr>
        <w:t>GRC Market Growth in KSA:</w:t>
      </w:r>
      <w:r>
        <w:t xml:space="preserve"> The Governance, Risk &amp; Compliance (GRC) market in Saudi Arabia is on a steep growth trajectory, reflecting the increasing importance of compliance in the Kingdom’s economy. In 2024, the Saudi GRC platform market was estimated at </w:t>
      </w:r>
      <w:r>
        <w:rPr>
          <w:b/>
          <w:bCs/>
        </w:rPr>
        <w:t>USD 442.5 million</w:t>
      </w:r>
      <w:r>
        <w:t xml:space="preserve">, and it is projected to reach </w:t>
      </w:r>
      <w:r>
        <w:rPr>
          <w:b/>
          <w:bCs/>
        </w:rPr>
        <w:t>~USD 1.23 billion by 2033</w:t>
      </w:r>
      <w:r>
        <w:t xml:space="preserve"> – an ~11.5% CAGR growth</w:t>
      </w:r>
      <w:hyperlink r:id="rId48" w:anchor=":~:text=,and%20compliance%20platform%20market%20share">
        <w:r>
          <w:rPr>
            <w:rStyle w:val="Hyperlink"/>
          </w:rPr>
          <w:t>[2]</w:t>
        </w:r>
      </w:hyperlink>
      <w:r>
        <w:t>. This expansion is driven by multiple factors: stringent new regulations (PDPL, NCA ECC, SAMA CSF) that demand action, the Vision 2030 push for digitization across sectors, and rising cyber threats creating urgency around risk management</w:t>
      </w:r>
      <w:hyperlink r:id="rId49" w:anchor=":~:text=reach%20USD%201%2C234,and%20compliance%20platform%20market%20share">
        <w:r>
          <w:rPr>
            <w:rStyle w:val="Hyperlink"/>
          </w:rPr>
          <w:t>[26]</w:t>
        </w:r>
      </w:hyperlink>
      <w:r>
        <w:t xml:space="preserve">. Organizations are increasingly seeking </w:t>
      </w:r>
      <w:r>
        <w:rPr>
          <w:b/>
          <w:bCs/>
        </w:rPr>
        <w:t>AI-powered compliance solutions</w:t>
      </w:r>
      <w:r>
        <w:t xml:space="preserve"> to replace manual processes, which is exactly the niche Doğan AI Lab fills.</w:t>
      </w:r>
    </w:p>
    <w:p w14:paraId="0730BAB8" w14:textId="77777777" w:rsidR="00DC237F" w:rsidRDefault="00DC237F" w:rsidP="00DC237F">
      <w:pPr>
        <w:pStyle w:val="BodyText"/>
      </w:pPr>
      <w:r>
        <w:rPr>
          <w:b/>
          <w:bCs/>
        </w:rPr>
        <w:t>Industry Pain Points:</w:t>
      </w:r>
      <w:r>
        <w:t xml:space="preserve"> Across Saudi Arabia’s key sectors, compliance and risk teams share common pain points that underline the need for automation and localization:</w:t>
      </w:r>
    </w:p>
    <w:p w14:paraId="7377DCBD" w14:textId="77777777" w:rsidR="00DC237F" w:rsidRDefault="00DC237F" w:rsidP="00DC237F">
      <w:pPr>
        <w:numPr>
          <w:ilvl w:val="0"/>
          <w:numId w:val="2"/>
        </w:numPr>
      </w:pPr>
      <w:r>
        <w:rPr>
          <w:b/>
          <w:bCs/>
        </w:rPr>
        <w:t>Banking &amp; Finance:</w:t>
      </w:r>
      <w:r>
        <w:t xml:space="preserve"> Banks face some of the strictest requirements – the Saudi Central Bank (SAMA) requires 100% adherence to its cybersecurity controls, and financial institutions are audited frequently for compliance</w:t>
      </w:r>
      <w:hyperlink r:id="rId50" w:anchor=":~:text=Regulatory%20Enforcement%3A%20Regulators%20like%20the,is%20rising">
        <w:r>
          <w:rPr>
            <w:rStyle w:val="Hyperlink"/>
          </w:rPr>
          <w:t>[27]</w:t>
        </w:r>
      </w:hyperlink>
      <w:r>
        <w:t>. These firms juggle multiple frameworks (SAMA CSF, PCI-DSS, FATF AML rules, PDPL for customer data privacy, etc.), resulting in heavy workloads. Many banks have resorted to hiring large compliance teams or engaging consultants year-round. Yet, they still encounter issues like fragmented reporting and slow manual risk assessments</w:t>
      </w:r>
      <w:hyperlink r:id="rId51" w:anchor=":~:text=This%20major%20Middle%20East%20bank,critical%20risk%20and%20compliance%20gaps">
        <w:r>
          <w:rPr>
            <w:rStyle w:val="Hyperlink"/>
          </w:rPr>
          <w:t>[28]</w:t>
        </w:r>
      </w:hyperlink>
      <w:r>
        <w:t xml:space="preserve">. There is </w:t>
      </w:r>
      <w:r>
        <w:lastRenderedPageBreak/>
        <w:t xml:space="preserve">high demand in banking for tools that can </w:t>
      </w:r>
      <w:r>
        <w:rPr>
          <w:b/>
          <w:bCs/>
        </w:rPr>
        <w:t>streamline compliance evidence gathering (e.g. automated technical checks for SWIFT security controls)</w:t>
      </w:r>
      <w:r>
        <w:t xml:space="preserve"> and provide a consolidated real-time view to avoid surprises in SAMA inspections.</w:t>
      </w:r>
    </w:p>
    <w:p w14:paraId="585C2BD4" w14:textId="77777777" w:rsidR="00DC237F" w:rsidRDefault="00DC237F" w:rsidP="00DC237F">
      <w:pPr>
        <w:numPr>
          <w:ilvl w:val="0"/>
          <w:numId w:val="2"/>
        </w:numPr>
      </w:pPr>
      <w:r>
        <w:rPr>
          <w:b/>
          <w:bCs/>
        </w:rPr>
        <w:t>Telecommunications &amp; Energy:</w:t>
      </w:r>
      <w:r>
        <w:t xml:space="preserve"> Telecom operators and energy companies (oil &amp; gas, utilities) are classified as </w:t>
      </w:r>
      <w:r>
        <w:rPr>
          <w:b/>
          <w:bCs/>
        </w:rPr>
        <w:t>critical infrastructure</w:t>
      </w:r>
      <w:r>
        <w:t xml:space="preserve">, falling under NCA’s purview for cybersecurity controls. They not only must implement the NCA ECC, but also often comply with sector-specific standards issued by regulators like the CITC (now CST) for telcos or internal standards like Aramco’s </w:t>
      </w:r>
      <w:r>
        <w:rPr>
          <w:b/>
          <w:bCs/>
        </w:rPr>
        <w:t>SACS-002</w:t>
      </w:r>
      <w:r>
        <w:t xml:space="preserve"> cybersecurity standard for oil industry suppliers</w:t>
      </w:r>
      <w:hyperlink r:id="rId52" w:anchor=":~:text=Secure%20Dimensions%3A%20A%20Saudi%20consulting,necessarily%20a%20unified%20automation%20software">
        <w:r>
          <w:rPr>
            <w:rStyle w:val="Hyperlink"/>
          </w:rPr>
          <w:t>[29]</w:t>
        </w:r>
      </w:hyperlink>
      <w:r>
        <w:t>. These companies often operate complex, distributed systems (e.g. nationwide networks or industrial control systems) and face advanced persistent threats. Their pain points include ensuring compliance across a sprawl of assets and sites, managing third-party risk in large supply chains, and keeping up with both national and corporate standards. Current tools often fall short in providing an integrated view. For example, an energy company might use one system for ISO 27001, another for NCA compliance, and spreadsheets for internal standards, with little integration – making it cumbersome to get an overall risk posture.</w:t>
      </w:r>
    </w:p>
    <w:p w14:paraId="630A56E1" w14:textId="77777777" w:rsidR="00DC237F" w:rsidRDefault="00DC237F" w:rsidP="00DC237F">
      <w:pPr>
        <w:numPr>
          <w:ilvl w:val="0"/>
          <w:numId w:val="2"/>
        </w:numPr>
      </w:pPr>
      <w:r>
        <w:rPr>
          <w:b/>
          <w:bCs/>
        </w:rPr>
        <w:t>Government Ministries &amp; Public Sector:</w:t>
      </w:r>
      <w:r>
        <w:t xml:space="preserve"> Ministries and agencies are under intense pressure to modernize services (e-government, smart city initiatives) while </w:t>
      </w:r>
      <w:r>
        <w:rPr>
          <w:b/>
          <w:bCs/>
        </w:rPr>
        <w:t>maintaining strict compliance</w:t>
      </w:r>
      <w:r>
        <w:t xml:space="preserve"> with regulations like PDPL (which applies to government-held personal data) and the NCA’s controls</w:t>
      </w:r>
      <w:hyperlink r:id="rId53">
        <w:r>
          <w:rPr>
            <w:rStyle w:val="Hyperlink"/>
          </w:rPr>
          <w:t>[30]</w:t>
        </w:r>
      </w:hyperlink>
      <w:r>
        <w:t xml:space="preserve">. The Digital Government Authority (DGA) mandates government entities to digitize citizen services, but simultaneously, data privacy and security must be assured. Many ministries have limited specialized IT compliance talent and have relied on periodic audits by the National Cybersecurity Authority. Pain points here include manual compliance tracking (often via paper or Excel) across dozens of departments, difficulty enforcing standard policies uniformly, and producing required reports to central authorities. A platform like Doğan AI Lab can provide an internal </w:t>
      </w:r>
      <w:r>
        <w:rPr>
          <w:b/>
          <w:bCs/>
        </w:rPr>
        <w:t>“compliance dashboard” for the entire ministry</w:t>
      </w:r>
      <w:r>
        <w:t xml:space="preserve"> and ensure continuous oversight, which is a big shift from the current snapshot audits.</w:t>
      </w:r>
    </w:p>
    <w:p w14:paraId="1EB3E10A" w14:textId="77777777" w:rsidR="00DC237F" w:rsidRDefault="00DC237F" w:rsidP="00DC237F">
      <w:pPr>
        <w:numPr>
          <w:ilvl w:val="0"/>
          <w:numId w:val="2"/>
        </w:numPr>
      </w:pPr>
      <w:r>
        <w:rPr>
          <w:b/>
          <w:bCs/>
        </w:rPr>
        <w:t>Healthcare:</w:t>
      </w:r>
      <w:r>
        <w:t xml:space="preserve"> Hospitals, clinics, and healthcare groups handle highly sensitive personal data and thus are significantly impacted by PDPL and health data regulations. They also </w:t>
      </w:r>
      <w:proofErr w:type="gramStart"/>
      <w:r>
        <w:t>have to</w:t>
      </w:r>
      <w:proofErr w:type="gramEnd"/>
      <w:r>
        <w:t xml:space="preserve"> comply with Ministry of Health cybersecurity guidelines and NCA controls due to the critical nature of health infrastructure. The healthcare sector’s pain points include securing a vast array of systems (from electronic health record systems to IoT medical devices) and proving compliance in areas like patient data confidentiality and cyber incident response. Many healthcare providers in KSA are in the midst of digital transformation (telehealth, cloud health platforms) under Vision 2030, which exposes gaps in compliance readiness</w:t>
      </w:r>
      <w:hyperlink r:id="rId54">
        <w:r>
          <w:rPr>
            <w:rStyle w:val="Hyperlink"/>
          </w:rPr>
          <w:t>[31]</w:t>
        </w:r>
      </w:hyperlink>
      <w:r>
        <w:t>. For instance, a hospital may struggle to manually track which systems contain personal health data and whether proper consent and encryption measures are in place on each – tasks ideal for automation.</w:t>
      </w:r>
    </w:p>
    <w:p w14:paraId="75CCF44D" w14:textId="77777777" w:rsidR="00DC237F" w:rsidRDefault="00DC237F" w:rsidP="00DC237F">
      <w:pPr>
        <w:pStyle w:val="FirstParagraph"/>
      </w:pPr>
      <w:r>
        <w:lastRenderedPageBreak/>
        <w:t xml:space="preserve">In all these sectors, a recurring theme is that </w:t>
      </w:r>
      <w:r>
        <w:rPr>
          <w:b/>
          <w:bCs/>
        </w:rPr>
        <w:t>manual and ad-hoc methods cannot scale</w:t>
      </w:r>
      <w:r>
        <w:t xml:space="preserve"> to the growing compliance demands. Firms and agencies experience “compliance fatigue” trying to keep up with evolving rules and multiple overlapping audits. This often leads to delays (compliance projects taking far longer than planned) and blind spots (issues going undetected until a regulator finds them). Doğan AI Lab directly targets these pain points by introducing </w:t>
      </w:r>
      <w:r>
        <w:rPr>
          <w:b/>
          <w:bCs/>
        </w:rPr>
        <w:t>continuous, automated monitoring</w:t>
      </w:r>
      <w:r>
        <w:t xml:space="preserve"> and a localized knowledge base. By automating evidence collection and having Saudi frameworks built-in, it helps organizations in banking, telco, government, healthcare, energy, and beyond to drastically cut down the effort and time to stay compliant.</w:t>
      </w:r>
    </w:p>
    <w:p w14:paraId="52C52C9A" w14:textId="77777777" w:rsidR="00DC237F" w:rsidRDefault="00DC237F" w:rsidP="00DC237F">
      <w:pPr>
        <w:pStyle w:val="BodyText"/>
      </w:pPr>
      <w:r>
        <w:rPr>
          <w:b/>
          <w:bCs/>
        </w:rPr>
        <w:t>Why Current Tools Fall Short:</w:t>
      </w:r>
      <w:r>
        <w:t xml:space="preserve"> Existing solutions in the market haven’t fully solved these pain points, for several reasons:</w:t>
      </w:r>
    </w:p>
    <w:p w14:paraId="714CE8E2" w14:textId="77777777" w:rsidR="00DC237F" w:rsidRDefault="00DC237F" w:rsidP="00DC237F">
      <w:pPr>
        <w:numPr>
          <w:ilvl w:val="0"/>
          <w:numId w:val="2"/>
        </w:numPr>
      </w:pPr>
      <w:r>
        <w:rPr>
          <w:b/>
          <w:bCs/>
        </w:rPr>
        <w:t>Imported GRC Software – Localization Gaps:</w:t>
      </w:r>
      <w:r>
        <w:t xml:space="preserve"> Global GRC platforms (e.g. RSA Archer, ServiceNow, MetricStream, </w:t>
      </w:r>
      <w:proofErr w:type="spellStart"/>
      <w:r>
        <w:t>OneTrust</w:t>
      </w:r>
      <w:proofErr w:type="spellEnd"/>
      <w:r>
        <w:t xml:space="preserve">) are powerful, but </w:t>
      </w:r>
      <w:r>
        <w:rPr>
          <w:b/>
          <w:bCs/>
        </w:rPr>
        <w:t>do not include Saudi regulatory content out-of-the-box</w:t>
      </w:r>
      <w:r>
        <w:t>. A Saudi organization deploying these often has to manually input the NCA controls or SAMA rules and translate all custom fields to Arabic if needed</w:t>
      </w:r>
      <w:hyperlink r:id="rId55" w:anchor=":~:text=Localization%20%26%20Framework%20Mapping%3A%20Global,5">
        <w:r>
          <w:rPr>
            <w:rStyle w:val="Hyperlink"/>
          </w:rPr>
          <w:t>[32]</w:t>
        </w:r>
      </w:hyperlink>
      <w:r>
        <w:t>. This not only delays deployment by months (or more) but also introduces risk of misinterpretation. Moreover, most global tools operate in English and offer limited support for Arabic interfaces or reports</w:t>
      </w:r>
      <w:hyperlink r:id="rId56" w:anchor=":~:text=%E2%9C%85%20Often%20bilingual%20support%2C%20though,UI%2FUX%20may%20be%20less%20polished">
        <w:r>
          <w:rPr>
            <w:rStyle w:val="Hyperlink"/>
          </w:rPr>
          <w:t>[33]</w:t>
        </w:r>
      </w:hyperlink>
      <w:hyperlink r:id="rId57" w:anchor=":~:text=%E2%9D%8C%20Primarily%20English,not%20standard%20without%20customization">
        <w:r>
          <w:rPr>
            <w:rStyle w:val="Hyperlink"/>
          </w:rPr>
          <w:t>[34]</w:t>
        </w:r>
      </w:hyperlink>
      <w:r>
        <w:t>. The result is that despite high costs, these tools still leave a heavy lift for local compliance teams to “teach” the software Saudi-specific requirements – or they end up using the tools only for generic purposes and manage local compliance on the side.</w:t>
      </w:r>
    </w:p>
    <w:p w14:paraId="2E8F173F" w14:textId="77777777" w:rsidR="00DC237F" w:rsidRDefault="00DC237F" w:rsidP="00DC237F">
      <w:pPr>
        <w:numPr>
          <w:ilvl w:val="0"/>
          <w:numId w:val="2"/>
        </w:numPr>
      </w:pPr>
      <w:r>
        <w:rPr>
          <w:b/>
          <w:bCs/>
        </w:rPr>
        <w:t>Local GRC Platforms – Limited Automation:</w:t>
      </w:r>
      <w:r>
        <w:t xml:space="preserve"> </w:t>
      </w:r>
      <w:proofErr w:type="gramStart"/>
      <w:r>
        <w:t>A number of</w:t>
      </w:r>
      <w:proofErr w:type="gramEnd"/>
      <w:r>
        <w:t xml:space="preserve"> local/regional solutions have emerged (GRC Vantage, MIZĀN, etc.), which focus on Saudi frameworks. They do provide coverage of NCA and SAMA controls and often include bilingual documentation, which is useful</w:t>
      </w:r>
      <w:hyperlink r:id="rId58" w:anchor=":~:text=GRC%20Vantage%3A%20A%20platform%20explicitly,It%E2%80%99s%20strong%20in%20framework">
        <w:r>
          <w:rPr>
            <w:rStyle w:val="Hyperlink"/>
          </w:rPr>
          <w:t>[35]</w:t>
        </w:r>
      </w:hyperlink>
      <w:hyperlink r:id="rId59" w:anchor=":~:text=alongside%20international%20ones%20like%20ISO,technical%20integration%20and%20advanced%20automation">
        <w:r>
          <w:rPr>
            <w:rStyle w:val="Hyperlink"/>
          </w:rPr>
          <w:t>[36]</w:t>
        </w:r>
      </w:hyperlink>
      <w:r>
        <w:t xml:space="preserve">. However, these platforms tend to operate as </w:t>
      </w:r>
      <w:r>
        <w:rPr>
          <w:b/>
          <w:bCs/>
        </w:rPr>
        <w:t>checklist and workflow tools</w:t>
      </w:r>
      <w:r>
        <w:t xml:space="preserve"> – essentially digitizing the process of compliance documentation but </w:t>
      </w:r>
      <w:r>
        <w:rPr>
          <w:b/>
          <w:bCs/>
        </w:rPr>
        <w:t>not automating deep evidence collection or analysis</w:t>
      </w:r>
      <w:hyperlink r:id="rId60" w:anchor=":~:text=with%20automated%20alerts,technical%20integration%20and%20advanced%20automation">
        <w:r>
          <w:rPr>
            <w:rStyle w:val="Hyperlink"/>
          </w:rPr>
          <w:t>[37]</w:t>
        </w:r>
      </w:hyperlink>
      <w:r>
        <w:t>. For example, GRC Vantage helps maintain a list of controls and whether you’ve provided documentation for each (and can generate bilingual reports)</w:t>
      </w:r>
      <w:hyperlink r:id="rId61" w:anchor=":~:text=alongside%20international%20ones%20like%20ISO,technical%20integration%20and%20advanced%20automation">
        <w:r>
          <w:rPr>
            <w:rStyle w:val="Hyperlink"/>
          </w:rPr>
          <w:t>[36]</w:t>
        </w:r>
      </w:hyperlink>
      <w:r>
        <w:t>, but it likely won’t log into systems to check configurations or use AI to detect anomalies. The “intelligence” in these systems is relatively weak, meaning they still rely on the user to input status updates or attach evidence manually. They also are typically offered as SaaS (cloud-based), which some clients (like government or defense) cannot use due to data residency policies</w:t>
      </w:r>
      <w:hyperlink r:id="rId62" w:anchor=":~:text=%E2%9C%85%20Yes%20%E2%80%93%20dedicated%20appliance,security%20environments">
        <w:r>
          <w:rPr>
            <w:rStyle w:val="Hyperlink"/>
          </w:rPr>
          <w:t>[38]</w:t>
        </w:r>
      </w:hyperlink>
      <w:r>
        <w:t xml:space="preserve">. In short, local software covers the frameworks but remains </w:t>
      </w:r>
      <w:r>
        <w:rPr>
          <w:b/>
          <w:bCs/>
        </w:rPr>
        <w:t>labor-intensive and cannot proactively find issues</w:t>
      </w:r>
      <w:r>
        <w:t xml:space="preserve"> the way an AI-driven engine can.</w:t>
      </w:r>
    </w:p>
    <w:p w14:paraId="427B8A27" w14:textId="77777777" w:rsidR="00DC237F" w:rsidRDefault="00DC237F" w:rsidP="00DC237F">
      <w:pPr>
        <w:numPr>
          <w:ilvl w:val="0"/>
          <w:numId w:val="2"/>
        </w:numPr>
      </w:pPr>
      <w:r>
        <w:rPr>
          <w:b/>
          <w:bCs/>
        </w:rPr>
        <w:t>Consulting-Dominated Approach:</w:t>
      </w:r>
      <w:r>
        <w:t xml:space="preserve"> Many Saudi organizations, lacking an ideal software solution, default to hiring consulting firms to handle compliance. Big 4 and boutique consultants are effective in advising and gap assessments, but the approach is </w:t>
      </w:r>
      <w:r>
        <w:rPr>
          <w:b/>
          <w:bCs/>
        </w:rPr>
        <w:t>slow, expensive, and one-off</w:t>
      </w:r>
      <w:r>
        <w:t xml:space="preserve">. A consultant-led PDPL compliance </w:t>
      </w:r>
      <w:r>
        <w:lastRenderedPageBreak/>
        <w:t>project, for instance, may take 3–6 months and result in a one-time report and some recommendations</w:t>
      </w:r>
      <w:hyperlink r:id="rId63" w:anchor=":~:text=Weaknesses%3A%20The%20consulting%20approach%20is,leaves%20when%20the%20consultants%20leave">
        <w:r>
          <w:rPr>
            <w:rStyle w:val="Hyperlink"/>
          </w:rPr>
          <w:t>[39]</w:t>
        </w:r>
      </w:hyperlink>
      <w:r>
        <w:t>. There is no continuity until the next yearly (or ad-hoc) engagement. This approach doesn’t scale for continuous monitoring or quick adaptation to new regulations. It’s also costly – companies pay repeatedly for similar audits. Plus, the manual nature (interviews, spreadsheets by consultants) means potential inconsistencies and knowledge leaving the organization when the consultants leave</w:t>
      </w:r>
      <w:hyperlink r:id="rId64" w:anchor=":~:text=Weaknesses%3A%20The%20consulting%20approach%20is,leaves%20when%20the%20consultants%20leave">
        <w:r>
          <w:rPr>
            <w:rStyle w:val="Hyperlink"/>
          </w:rPr>
          <w:t>[39]</w:t>
        </w:r>
      </w:hyperlink>
      <w:hyperlink r:id="rId65" w:anchor=":~:text=for%20compliance%20advisory%20%E2%80%93%20much,after%20deploying%20an%20automated%20solution">
        <w:r>
          <w:rPr>
            <w:rStyle w:val="Hyperlink"/>
          </w:rPr>
          <w:t>[40]</w:t>
        </w:r>
      </w:hyperlink>
      <w:r>
        <w:t xml:space="preserve">. Current tools and consulting combined still leave clients wanting a </w:t>
      </w:r>
      <w:r>
        <w:rPr>
          <w:i/>
          <w:iCs/>
        </w:rPr>
        <w:t>faster, always-on, Saudi-specific</w:t>
      </w:r>
      <w:r>
        <w:t xml:space="preserve"> solution – which is the void our platform fills.</w:t>
      </w:r>
    </w:p>
    <w:p w14:paraId="186FD1D6" w14:textId="77777777" w:rsidR="00DC237F" w:rsidRDefault="00DC237F" w:rsidP="00DC237F">
      <w:pPr>
        <w:pStyle w:val="FirstParagraph"/>
      </w:pPr>
      <w:r>
        <w:t xml:space="preserve">In summary, the Saudi market is primed for a solution like Doğan AI Lab. The compliance spend is growing, pain points are acute in major industries, and existing tools (whether global software, local point-solutions, or pure consulting) have notable shortcomings. This creates a strong opportunity for Doğan AI Lab to establish itself as the </w:t>
      </w:r>
      <w:r>
        <w:rPr>
          <w:b/>
          <w:bCs/>
        </w:rPr>
        <w:t>go-to compliance automation platform in Saudi Arabia</w:t>
      </w:r>
      <w:r>
        <w:t>, riding the wave of market demand and Vision 2030’s emphasis on localized innovation.</w:t>
      </w:r>
    </w:p>
    <w:p w14:paraId="14D1C627" w14:textId="77777777" w:rsidR="00DC237F" w:rsidRDefault="00DC237F" w:rsidP="00DC237F">
      <w:pPr>
        <w:pStyle w:val="Heading2"/>
      </w:pPr>
      <w:bookmarkStart w:id="8" w:name="competitive-landscape"/>
      <w:bookmarkEnd w:id="7"/>
      <w:r>
        <w:t>Competitive Landscape</w:t>
      </w:r>
    </w:p>
    <w:p w14:paraId="4EAB7D9D" w14:textId="77777777" w:rsidR="00DC237F" w:rsidRDefault="00DC237F" w:rsidP="00DC237F">
      <w:pPr>
        <w:pStyle w:val="FirstParagraph"/>
      </w:pPr>
      <w:r>
        <w:t xml:space="preserve">The competitive landscape for GRC and compliance solutions in Saudi Arabia spans three main categories: </w:t>
      </w:r>
      <w:r>
        <w:rPr>
          <w:b/>
          <w:bCs/>
        </w:rPr>
        <w:t>(1) Local GRC Software Providers, (2) Global GRC Platforms, and (3) Consulting Firms</w:t>
      </w:r>
      <w:r>
        <w:t>. Each offers a different approach to the compliance problem, and each has strengths and weaknesses relative to Doğan AI Lab. Below, we analyze each category and then summarize how Doğan AI Lab differentiates itself.</w:t>
      </w:r>
    </w:p>
    <w:p w14:paraId="23FED9C3" w14:textId="77777777" w:rsidR="00DC237F" w:rsidRDefault="00DC237F" w:rsidP="00DC237F">
      <w:pPr>
        <w:pStyle w:val="BodyText"/>
      </w:pPr>
      <w:r>
        <w:rPr>
          <w:b/>
          <w:bCs/>
        </w:rPr>
        <w:t>1. Local GRC Solution Providers:</w:t>
      </w:r>
      <w:r>
        <w:t xml:space="preserve"> Several Saudi or GCC-based startups have launched products to address local compliance needs. Examples include </w:t>
      </w:r>
      <w:r>
        <w:rPr>
          <w:b/>
          <w:bCs/>
        </w:rPr>
        <w:t>MIZĀN GRC</w:t>
      </w:r>
      <w:r>
        <w:t xml:space="preserve">, </w:t>
      </w:r>
      <w:r>
        <w:rPr>
          <w:b/>
          <w:bCs/>
        </w:rPr>
        <w:t>GRC Vantage</w:t>
      </w:r>
      <w:r>
        <w:t xml:space="preserve">, </w:t>
      </w:r>
      <w:proofErr w:type="spellStart"/>
      <w:r>
        <w:rPr>
          <w:b/>
          <w:bCs/>
        </w:rPr>
        <w:t>Joushen</w:t>
      </w:r>
      <w:proofErr w:type="spellEnd"/>
      <w:r>
        <w:rPr>
          <w:b/>
          <w:bCs/>
        </w:rPr>
        <w:t xml:space="preserve"> </w:t>
      </w:r>
      <w:proofErr w:type="spellStart"/>
      <w:r>
        <w:rPr>
          <w:b/>
          <w:bCs/>
        </w:rPr>
        <w:t>GRCaaS</w:t>
      </w:r>
      <w:proofErr w:type="spellEnd"/>
      <w:r>
        <w:t>, and others.</w:t>
      </w:r>
    </w:p>
    <w:p w14:paraId="02F4CCA2" w14:textId="77777777" w:rsidR="00DC237F" w:rsidRDefault="00DC237F" w:rsidP="00DC237F">
      <w:pPr>
        <w:numPr>
          <w:ilvl w:val="0"/>
          <w:numId w:val="2"/>
        </w:numPr>
      </w:pPr>
      <w:r>
        <w:rPr>
          <w:i/>
          <w:iCs/>
        </w:rPr>
        <w:t>MIZĀN GRC:</w:t>
      </w:r>
      <w:r>
        <w:t xml:space="preserve"> A Saudi-born platform often marketed as an “AI-powered” </w:t>
      </w:r>
      <w:proofErr w:type="spellStart"/>
      <w:r>
        <w:t>RegTech</w:t>
      </w:r>
      <w:proofErr w:type="spellEnd"/>
      <w:r>
        <w:t xml:space="preserve"> solution. MIZĀN emphasizes being built for local frameworks (NCA, SAMA, etc.) with bilingual support, and touts that it can reduce reporting cycles by around 40% through automation</w:t>
      </w:r>
      <w:hyperlink r:id="rId66" w:anchor=":~:text=MIZ%C4%80N%20GRC%3A%20A%20Saudi,than%20deep%20technical%20compliance%20scanning">
        <w:r>
          <w:rPr>
            <w:rStyle w:val="Hyperlink"/>
          </w:rPr>
          <w:t>[41]</w:t>
        </w:r>
      </w:hyperlink>
      <w:r>
        <w:t xml:space="preserve">. This indicates strong alignment with market needs and validates that clients want AI in compliance. However, as best we know, MIZĀN is a </w:t>
      </w:r>
      <w:r>
        <w:rPr>
          <w:b/>
          <w:bCs/>
        </w:rPr>
        <w:t>cloud (SaaS) offering</w:t>
      </w:r>
      <w:r>
        <w:t xml:space="preserve"> and likely focuses on automating workflow (report generation, notifications) more than technical evidence gathering</w:t>
      </w:r>
      <w:hyperlink r:id="rId67" w:anchor=":~:text=reduce%20reporting%20cycles%20by%20~40,than%20deep%20technical%20compliance%20scanning">
        <w:r>
          <w:rPr>
            <w:rStyle w:val="Hyperlink"/>
          </w:rPr>
          <w:t>[42]</w:t>
        </w:r>
      </w:hyperlink>
      <w:hyperlink r:id="rId68" w:anchor=":~:text=local%20needs%20and%20shows%20there%E2%80%99s,than%20deep%20technical%20compliance%20scanning">
        <w:r>
          <w:rPr>
            <w:rStyle w:val="Hyperlink"/>
          </w:rPr>
          <w:t>[43]</w:t>
        </w:r>
      </w:hyperlink>
      <w:r>
        <w:t xml:space="preserve">. It may not provide </w:t>
      </w:r>
      <w:proofErr w:type="gramStart"/>
      <w:r>
        <w:t>an on</w:t>
      </w:r>
      <w:proofErr w:type="gramEnd"/>
      <w:r>
        <w:t>-prem deployment, which could be a limitation for clients with data sensitivity.</w:t>
      </w:r>
    </w:p>
    <w:p w14:paraId="045B1E93" w14:textId="77777777" w:rsidR="00DC237F" w:rsidRDefault="00DC237F" w:rsidP="00DC237F">
      <w:pPr>
        <w:numPr>
          <w:ilvl w:val="0"/>
          <w:numId w:val="2"/>
        </w:numPr>
      </w:pPr>
      <w:r>
        <w:rPr>
          <w:i/>
          <w:iCs/>
        </w:rPr>
        <w:t>GRC Vantage:</w:t>
      </w:r>
      <w:r>
        <w:t xml:space="preserve"> A local platform explicitly built around Saudi compliance frameworks. It highlights comprehensive coverage of SAMA CSF and NCA ECC, plus support for common standards like ISO 27001 and PCI-DSS</w:t>
      </w:r>
      <w:hyperlink r:id="rId69" w:anchor=":~:text=GRC%20Vantage%3A%20A%20platform%20explicitly,It%E2%80%99s%20strong%20in%20framework">
        <w:r>
          <w:rPr>
            <w:rStyle w:val="Hyperlink"/>
          </w:rPr>
          <w:t>[44]</w:t>
        </w:r>
      </w:hyperlink>
      <w:r>
        <w:t xml:space="preserve">. GRC Vantage’s features include a </w:t>
      </w:r>
      <w:r>
        <w:rPr>
          <w:b/>
          <w:bCs/>
        </w:rPr>
        <w:t>structured compliance checklist approach</w:t>
      </w:r>
      <w:r>
        <w:t>, bilingual document outputs, and continuous monitoring with alerts</w:t>
      </w:r>
      <w:hyperlink r:id="rId70" w:anchor=":~:text=GRC%20Vantage%3A%20A%20platform%20explicitly,It%E2%80%99s%20strong%20in%20framework">
        <w:r>
          <w:rPr>
            <w:rStyle w:val="Hyperlink"/>
          </w:rPr>
          <w:t>[35]</w:t>
        </w:r>
      </w:hyperlink>
      <w:hyperlink r:id="rId71" w:anchor=":~:text=alongside%20international%20ones%20like%20ISO,technical%20integration%20and%20advanced%20automation">
        <w:r>
          <w:rPr>
            <w:rStyle w:val="Hyperlink"/>
          </w:rPr>
          <w:t>[36]</w:t>
        </w:r>
      </w:hyperlink>
      <w:r>
        <w:t xml:space="preserve">. Essentially, it digitizes the compliance process tailored to Saudi requirements. Its limitation is </w:t>
      </w:r>
      <w:r>
        <w:lastRenderedPageBreak/>
        <w:t xml:space="preserve">that it functions largely as a </w:t>
      </w:r>
      <w:r>
        <w:rPr>
          <w:b/>
          <w:bCs/>
        </w:rPr>
        <w:t>checklist/task management tool</w:t>
      </w:r>
      <w:r>
        <w:t xml:space="preserve"> – ensuring you’ve documented all required controls – but does not deeply integrate or automate technical checks. For instance, it helps track if you have an incident response plan, but it </w:t>
      </w:r>
      <w:proofErr w:type="gramStart"/>
      <w:r>
        <w:t>won’t itself</w:t>
      </w:r>
      <w:proofErr w:type="gramEnd"/>
      <w:r>
        <w:t xml:space="preserve"> verify if your servers meet password policy unless you manually input that info. It’s strong in framework alignment (by its own claims, 100% of SAMA and NCA controls covered as checklist items</w:t>
      </w:r>
      <w:hyperlink r:id="rId72" w:anchor=":~:text=with%20automated%20alerts,technical%20integration%20and%20advanced%20automation">
        <w:r>
          <w:rPr>
            <w:rStyle w:val="Hyperlink"/>
          </w:rPr>
          <w:t>[37]</w:t>
        </w:r>
      </w:hyperlink>
      <w:r>
        <w:t xml:space="preserve">) but </w:t>
      </w:r>
      <w:r>
        <w:rPr>
          <w:b/>
          <w:bCs/>
        </w:rPr>
        <w:t>weak in technical integration and advanced analytics</w:t>
      </w:r>
      <w:r>
        <w:t>.</w:t>
      </w:r>
    </w:p>
    <w:p w14:paraId="36B097F7" w14:textId="77777777" w:rsidR="00DC237F" w:rsidRDefault="00DC237F" w:rsidP="00DC237F">
      <w:pPr>
        <w:numPr>
          <w:ilvl w:val="0"/>
          <w:numId w:val="2"/>
        </w:numPr>
      </w:pPr>
      <w:proofErr w:type="spellStart"/>
      <w:r>
        <w:rPr>
          <w:i/>
          <w:iCs/>
        </w:rPr>
        <w:t>Joushen</w:t>
      </w:r>
      <w:proofErr w:type="spellEnd"/>
      <w:r>
        <w:rPr>
          <w:i/>
          <w:iCs/>
        </w:rPr>
        <w:t xml:space="preserve"> (GRC as a Service):</w:t>
      </w:r>
      <w:r>
        <w:t xml:space="preserve"> </w:t>
      </w:r>
      <w:proofErr w:type="spellStart"/>
      <w:r>
        <w:t>Joushen</w:t>
      </w:r>
      <w:proofErr w:type="spellEnd"/>
      <w:r>
        <w:t xml:space="preserve"> takes a different approach by offering compliance </w:t>
      </w:r>
      <w:r>
        <w:rPr>
          <w:b/>
          <w:bCs/>
        </w:rPr>
        <w:t>as a service</w:t>
      </w:r>
      <w:r>
        <w:t>, effectively an outsourced model</w:t>
      </w:r>
      <w:hyperlink r:id="rId73" w:anchor=":~:text=Joushen%20,that%20must%20develop%20internal%20capabilities">
        <w:r>
          <w:rPr>
            <w:rStyle w:val="Hyperlink"/>
          </w:rPr>
          <w:t>[45]</w:t>
        </w:r>
      </w:hyperlink>
      <w:r>
        <w:t xml:space="preserve">. Organizations can rely on </w:t>
      </w:r>
      <w:proofErr w:type="spellStart"/>
      <w:r>
        <w:t>Joushen’s</w:t>
      </w:r>
      <w:proofErr w:type="spellEnd"/>
      <w:r>
        <w:t xml:space="preserve"> team to manage their GRC activities – policy drafting, regulatory updates, audit prep, etc.</w:t>
      </w:r>
      <w:hyperlink r:id="rId74" w:anchor=":~:text=In%20today%E2%80%99s%20fast,house%20GRC%20professionals">
        <w:r>
          <w:rPr>
            <w:rStyle w:val="Hyperlink"/>
          </w:rPr>
          <w:t>[46]</w:t>
        </w:r>
      </w:hyperlink>
      <w:hyperlink r:id="rId75" w:anchor=":~:text=">
        <w:r>
          <w:rPr>
            <w:rStyle w:val="Hyperlink"/>
          </w:rPr>
          <w:t>[47]</w:t>
        </w:r>
      </w:hyperlink>
      <w:r>
        <w:t xml:space="preserve">. The benefit is access to expertise without full-time staff, and indeed </w:t>
      </w:r>
      <w:proofErr w:type="spellStart"/>
      <w:r>
        <w:t>Joushen</w:t>
      </w:r>
      <w:proofErr w:type="spellEnd"/>
      <w:r>
        <w:t xml:space="preserve"> covers SAMA and NCA requirements among others</w:t>
      </w:r>
      <w:hyperlink r:id="rId76" w:anchor=":~:text=Joushen%20has%20extensive%20experience%20in,compliance%20with%20various%20regulatory%20frameworks">
        <w:r>
          <w:rPr>
            <w:rStyle w:val="Hyperlink"/>
          </w:rPr>
          <w:t>[48]</w:t>
        </w:r>
      </w:hyperlink>
      <w:r>
        <w:t xml:space="preserve">. However, it’s </w:t>
      </w:r>
      <w:r>
        <w:rPr>
          <w:b/>
          <w:bCs/>
        </w:rPr>
        <w:t>service-based, not software</w:t>
      </w:r>
      <w:r>
        <w:t xml:space="preserve"> – meaning scalability is limited and the client doesn’t get an in-house system or IP. Regulated entities might also be hesitant to outsource too much, as </w:t>
      </w:r>
      <w:proofErr w:type="gramStart"/>
      <w:r>
        <w:t>ultimately</w:t>
      </w:r>
      <w:proofErr w:type="gramEnd"/>
      <w:r>
        <w:t xml:space="preserve"> they are accountable to regulators. </w:t>
      </w:r>
      <w:proofErr w:type="spellStart"/>
      <w:r>
        <w:t>Joushen’s</w:t>
      </w:r>
      <w:proofErr w:type="spellEnd"/>
      <w:r>
        <w:t xml:space="preserve"> model might suit smaller firms lacking any GRC capabilities, but larger enterprises usually need an internal system of record (and many regulations encourage building internal competence, not just outsourcing everything).</w:t>
      </w:r>
    </w:p>
    <w:p w14:paraId="2FC2AFCB" w14:textId="77777777" w:rsidR="00DC237F" w:rsidRDefault="00DC237F" w:rsidP="00DC237F">
      <w:pPr>
        <w:numPr>
          <w:ilvl w:val="0"/>
          <w:numId w:val="2"/>
        </w:numPr>
      </w:pPr>
      <w:r>
        <w:rPr>
          <w:i/>
          <w:iCs/>
        </w:rPr>
        <w:t>Other Local Players:</w:t>
      </w:r>
      <w:r>
        <w:t xml:space="preserve"> There are also cybersecurity firms and consultants (e.g. Secure Dimensions, Security Pact mentioned in some contexts</w:t>
      </w:r>
      <w:hyperlink r:id="rId77" w:anchor=":~:text=Security%20Pact%3A%20A%20local%20cybersecurity,still%20rely%20on%20their%20consulting">
        <w:r>
          <w:rPr>
            <w:rStyle w:val="Hyperlink"/>
          </w:rPr>
          <w:t>[49]</w:t>
        </w:r>
      </w:hyperlink>
      <w:r>
        <w:t>) that package GRC tools or programs as part of their services. Secure Dimensions, for instance, focuses on custom compliance programs and has expertise in niche local standards like Aramco’s supplier cybersecurity requirements</w:t>
      </w:r>
      <w:hyperlink r:id="rId78" w:anchor=":~:text=Secure%20Dimensions%3A%20A%20Saudi%20consulting,necessarily%20a%20unified%20automation%20software">
        <w:r>
          <w:rPr>
            <w:rStyle w:val="Hyperlink"/>
          </w:rPr>
          <w:t>[29]</w:t>
        </w:r>
      </w:hyperlink>
      <w:r>
        <w:t xml:space="preserve">. These offerings underscore local knowledge depth, but again, they lean heavily on </w:t>
      </w:r>
      <w:r>
        <w:rPr>
          <w:b/>
          <w:bCs/>
        </w:rPr>
        <w:t>consulting and services</w:t>
      </w:r>
      <w:r>
        <w:t xml:space="preserve"> rather than standalone software products</w:t>
      </w:r>
      <w:hyperlink r:id="rId79" w:anchor=":~:text=helping%20a%20supplier%20get%20compliant,necessarily%20a%20unified%20automation%20software">
        <w:r>
          <w:rPr>
            <w:rStyle w:val="Hyperlink"/>
          </w:rPr>
          <w:t>[50]</w:t>
        </w:r>
      </w:hyperlink>
      <w:r>
        <w:t>.</w:t>
      </w:r>
    </w:p>
    <w:p w14:paraId="5ADEDDD4" w14:textId="77777777" w:rsidR="00DC237F" w:rsidRDefault="00DC237F" w:rsidP="00DC237F">
      <w:pPr>
        <w:pStyle w:val="FirstParagraph"/>
      </w:pPr>
      <w:r>
        <w:rPr>
          <w:b/>
          <w:bCs/>
        </w:rPr>
        <w:t>Doğan AI Lab vs Local Competitors:</w:t>
      </w:r>
      <w:r>
        <w:t xml:space="preserve"> We share some common strengths with local competitors (Saudi framework focus, bilingual support, local hosting), but we introduce key differentiators:</w:t>
      </w:r>
    </w:p>
    <w:p w14:paraId="32F0FB1D" w14:textId="77777777" w:rsidR="00DC237F" w:rsidRDefault="00DC237F" w:rsidP="00DC237F">
      <w:pPr>
        <w:numPr>
          <w:ilvl w:val="0"/>
          <w:numId w:val="2"/>
        </w:numPr>
      </w:pPr>
      <w:r>
        <w:rPr>
          <w:b/>
          <w:bCs/>
        </w:rPr>
        <w:t>Deeper Automation:</w:t>
      </w:r>
      <w:r>
        <w:t xml:space="preserve"> Unlike checklist-oriented platforms, Doğan AI Lab performs </w:t>
      </w:r>
      <w:r>
        <w:rPr>
          <w:b/>
          <w:bCs/>
        </w:rPr>
        <w:t>automated evidence collection and validation</w:t>
      </w:r>
      <w:r>
        <w:t>. It doesn’t just ask “Are you compliant with control X?” – it actively checks logs, configurations, and documents to answer that question. This goes beyond the largely manual input model of many local GRC tools</w:t>
      </w:r>
      <w:hyperlink r:id="rId80" w:anchor=":~:text=Deeper%20Automation%3A%20Instead%20of%20just,of%20many%20local%20GRC%20tools">
        <w:r>
          <w:rPr>
            <w:rStyle w:val="Hyperlink"/>
          </w:rPr>
          <w:t>[51]</w:t>
        </w:r>
      </w:hyperlink>
      <w:hyperlink r:id="rId81" w:anchor=":~:text=AI%2FML%20Features%3A%20While%20MIZ%C4%80N%20markets,before%20they%20become%20audit%20findings">
        <w:r>
          <w:rPr>
            <w:rStyle w:val="Hyperlink"/>
          </w:rPr>
          <w:t>[52]</w:t>
        </w:r>
      </w:hyperlink>
      <w:r>
        <w:t>. The result is less labor for clients and more reliable data, as our platform can catch issues humans might miss or omit.</w:t>
      </w:r>
    </w:p>
    <w:p w14:paraId="61DE4CFE" w14:textId="77777777" w:rsidR="00DC237F" w:rsidRDefault="00DC237F" w:rsidP="00DC237F">
      <w:pPr>
        <w:numPr>
          <w:ilvl w:val="0"/>
          <w:numId w:val="2"/>
        </w:numPr>
      </w:pPr>
      <w:proofErr w:type="gramStart"/>
      <w:r>
        <w:rPr>
          <w:b/>
          <w:bCs/>
        </w:rPr>
        <w:t>On-Premise</w:t>
      </w:r>
      <w:proofErr w:type="gramEnd"/>
      <w:r>
        <w:rPr>
          <w:b/>
          <w:bCs/>
        </w:rPr>
        <w:t xml:space="preserve"> AI Appliance:</w:t>
      </w:r>
      <w:r>
        <w:t xml:space="preserve"> No local competitor offers a turnkey </w:t>
      </w:r>
      <w:r>
        <w:rPr>
          <w:b/>
          <w:bCs/>
        </w:rPr>
        <w:t>on-prem appliance with built-in AI</w:t>
      </w:r>
      <w:r>
        <w:t>. Doğan AI Lab’s hardware appliance is a unique selling point – it delivers a plug-and-play solution that can run entirely within a client’s secure network</w:t>
      </w:r>
      <w:hyperlink r:id="rId82" w:anchor=":~:text=local%20GRC%20tools">
        <w:r>
          <w:rPr>
            <w:rStyle w:val="Hyperlink"/>
          </w:rPr>
          <w:t>[53]</w:t>
        </w:r>
      </w:hyperlink>
      <w:hyperlink r:id="rId83" w:anchor=":~:text=On,integrated%20product%20in%20a%20box">
        <w:r>
          <w:rPr>
            <w:rStyle w:val="Hyperlink"/>
          </w:rPr>
          <w:t>[54]</w:t>
        </w:r>
      </w:hyperlink>
      <w:r>
        <w:t xml:space="preserve">. For </w:t>
      </w:r>
      <w:proofErr w:type="gramStart"/>
      <w:r>
        <w:t>clients</w:t>
      </w:r>
      <w:proofErr w:type="gramEnd"/>
      <w:r>
        <w:t xml:space="preserve"> wary of cloud-based compliance tools, this is a major advantage. While some local providers could theoretically install their </w:t>
      </w:r>
      <w:r>
        <w:lastRenderedPageBreak/>
        <w:t>software on-prem, none provide a dedicated, optimized device that is simply dropped in behind the firewall with minimal IT integration.</w:t>
      </w:r>
    </w:p>
    <w:p w14:paraId="283C94BA" w14:textId="77777777" w:rsidR="00DC237F" w:rsidRDefault="00DC237F" w:rsidP="00DC237F">
      <w:pPr>
        <w:numPr>
          <w:ilvl w:val="0"/>
          <w:numId w:val="2"/>
        </w:numPr>
      </w:pPr>
      <w:r>
        <w:rPr>
          <w:b/>
          <w:bCs/>
        </w:rPr>
        <w:t>Speed of Deployment:</w:t>
      </w:r>
      <w:r>
        <w:t xml:space="preserve"> Our approach is productized and ready to deploy in </w:t>
      </w:r>
      <w:r>
        <w:rPr>
          <w:b/>
          <w:bCs/>
        </w:rPr>
        <w:t>weeks</w:t>
      </w:r>
      <w:r>
        <w:t xml:space="preserve"> (as demonstrated by our MVP/POC timeline)</w:t>
      </w:r>
      <w:hyperlink r:id="rId84" w:anchor=":~:text=offer%20on,integrated%20product%20in%20a%20box">
        <w:r>
          <w:rPr>
            <w:rStyle w:val="Hyperlink"/>
          </w:rPr>
          <w:t>[55]</w:t>
        </w:r>
      </w:hyperlink>
      <w:r>
        <w:t xml:space="preserve">. Implementing a local competitor’s solution, or a custom consulting engagement, often still takes </w:t>
      </w:r>
      <w:r>
        <w:rPr>
          <w:b/>
          <w:bCs/>
        </w:rPr>
        <w:t>months</w:t>
      </w:r>
      <w:r>
        <w:t xml:space="preserve"> of setup, training, and data entry. For example, if a firm engages a local consultant-led solution, they might undergo a long requirements phase. In contrast, Doğan AI Lab’s pre-built mappings and appliance deployment means a client can start seeing compliance results within the first month.</w:t>
      </w:r>
    </w:p>
    <w:p w14:paraId="37225EFD" w14:textId="77777777" w:rsidR="00DC237F" w:rsidRDefault="00DC237F" w:rsidP="00DC237F">
      <w:pPr>
        <w:numPr>
          <w:ilvl w:val="0"/>
          <w:numId w:val="2"/>
        </w:numPr>
      </w:pPr>
      <w:r>
        <w:rPr>
          <w:b/>
          <w:bCs/>
        </w:rPr>
        <w:t>Advanced AI/Analytics:</w:t>
      </w:r>
      <w:r>
        <w:t xml:space="preserve"> Some local players market “AI,” but in practice most </w:t>
      </w:r>
      <w:r>
        <w:rPr>
          <w:b/>
          <w:bCs/>
        </w:rPr>
        <w:t>focus on workflow automation rather than true AI-driven risk detection</w:t>
      </w:r>
      <w:hyperlink r:id="rId85" w:anchor=":~:text=AI%2FML%20Features%3A%20While%20MIZ%C4%80N%20markets,before%20they%20become%20audit%20findings">
        <w:r>
          <w:rPr>
            <w:rStyle w:val="Hyperlink"/>
          </w:rPr>
          <w:t>[56]</w:t>
        </w:r>
      </w:hyperlink>
      <w:r>
        <w:t>. Doğan AI Lab leverages AI/ML for anomaly detection, predictive analytics, and intelligent scoring, which is not currently matched by local competitors. This means we can deliver insights (like predicting a likely compliance failure or spotting an outlier in vendor behavior) that others simply do not provide yet. It makes compliance management more proactive and risk-focused, rather than just a static checklist.</w:t>
      </w:r>
    </w:p>
    <w:p w14:paraId="3CA2EB53" w14:textId="77777777" w:rsidR="00DC237F" w:rsidRDefault="00DC237F" w:rsidP="00DC237F">
      <w:pPr>
        <w:pStyle w:val="FirstParagraph"/>
      </w:pPr>
      <w:r>
        <w:rPr>
          <w:b/>
          <w:bCs/>
        </w:rPr>
        <w:t>2. Global GRC Platforms:</w:t>
      </w:r>
      <w:r>
        <w:t xml:space="preserve"> These include big-name enterprise platforms like </w:t>
      </w:r>
      <w:r>
        <w:rPr>
          <w:b/>
          <w:bCs/>
        </w:rPr>
        <w:t>IBM OpenPages</w:t>
      </w:r>
      <w:r>
        <w:t xml:space="preserve">, </w:t>
      </w:r>
      <w:r>
        <w:rPr>
          <w:b/>
          <w:bCs/>
        </w:rPr>
        <w:t>RSA Archer</w:t>
      </w:r>
      <w:r>
        <w:t xml:space="preserve">, </w:t>
      </w:r>
      <w:r>
        <w:rPr>
          <w:b/>
          <w:bCs/>
        </w:rPr>
        <w:t>ServiceNow GRC</w:t>
      </w:r>
      <w:r>
        <w:t xml:space="preserve">, </w:t>
      </w:r>
      <w:r>
        <w:rPr>
          <w:b/>
          <w:bCs/>
        </w:rPr>
        <w:t>SAP GRC</w:t>
      </w:r>
      <w:r>
        <w:t xml:space="preserve">, </w:t>
      </w:r>
      <w:proofErr w:type="spellStart"/>
      <w:r>
        <w:rPr>
          <w:b/>
          <w:bCs/>
        </w:rPr>
        <w:t>OneTrust</w:t>
      </w:r>
      <w:proofErr w:type="spellEnd"/>
      <w:r>
        <w:t xml:space="preserve">, </w:t>
      </w:r>
      <w:r>
        <w:rPr>
          <w:b/>
          <w:bCs/>
        </w:rPr>
        <w:t>NAVEX</w:t>
      </w:r>
      <w:r>
        <w:t>, etc., many of which are present in the Saudi market via integrator partners. They are feature-rich and proven in global organizations, but in Saudi context they encounter several issues:</w:t>
      </w:r>
    </w:p>
    <w:p w14:paraId="512A99B5" w14:textId="77777777" w:rsidR="00DC237F" w:rsidRDefault="00DC237F" w:rsidP="00DC237F">
      <w:pPr>
        <w:numPr>
          <w:ilvl w:val="0"/>
          <w:numId w:val="2"/>
        </w:numPr>
      </w:pPr>
      <w:r>
        <w:rPr>
          <w:b/>
          <w:bCs/>
        </w:rPr>
        <w:t>Saudi Framework Support:</w:t>
      </w:r>
      <w:r>
        <w:t xml:space="preserve"> Global platforms excel at international standards (COSO, ISO, NIST, PCI, GDPR, etc.), but they </w:t>
      </w:r>
      <w:r>
        <w:rPr>
          <w:b/>
          <w:bCs/>
        </w:rPr>
        <w:t>do not natively support Saudi regulations</w:t>
      </w:r>
      <w:r>
        <w:t>. Implementing NCA ECC or SAMA CSF in these tools means the client (or their consultant) must manually input hundreds of controls and create custom mappings</w:t>
      </w:r>
      <w:hyperlink r:id="rId86" w:anchor=":~:text=Localization%20%26%20Framework%20Mapping%3A%20Global,5">
        <w:r>
          <w:rPr>
            <w:rStyle w:val="Hyperlink"/>
          </w:rPr>
          <w:t>[32]</w:t>
        </w:r>
      </w:hyperlink>
      <w:hyperlink r:id="rId87" w:anchor=":~:text=loaded%20with%20Saudi%20frameworks,speaking%20audit%20teams">
        <w:r>
          <w:rPr>
            <w:rStyle w:val="Hyperlink"/>
          </w:rPr>
          <w:t>[57]</w:t>
        </w:r>
      </w:hyperlink>
      <w:r>
        <w:t xml:space="preserve">. That’s time-consuming and prone to error. By contrast, Doğan AI Lab ships with NCA, SAMA, PDPL content on Day 1. For example, a Saudi bank using RSA Archer would spend weeks mapping SAMA CSF controls into Archer, whereas our platform would have had those controls and assessment logic ready out-of-the-box. Similarly, these global tools generally lack </w:t>
      </w:r>
      <w:r>
        <w:rPr>
          <w:b/>
          <w:bCs/>
        </w:rPr>
        <w:t>Arabic language support</w:t>
      </w:r>
      <w:r>
        <w:t xml:space="preserve"> – any Arabic reporting is usually a custom effort or simply not done</w:t>
      </w:r>
      <w:hyperlink r:id="rId88" w:anchor=":~:text=%E2%9C%85%20Often%20bilingual%20support%2C%20though,UI%2FUX%20may%20be%20less%20polished">
        <w:r>
          <w:rPr>
            <w:rStyle w:val="Hyperlink"/>
          </w:rPr>
          <w:t>[33]</w:t>
        </w:r>
      </w:hyperlink>
      <w:hyperlink r:id="rId89" w:anchor=":~:text=%E2%9D%8C%20Primarily%20English,not%20standard%20without%20customization">
        <w:r>
          <w:rPr>
            <w:rStyle w:val="Hyperlink"/>
          </w:rPr>
          <w:t>[58]</w:t>
        </w:r>
      </w:hyperlink>
      <w:r>
        <w:t>. Our platform was built bilingual from scratch, which is a significant advantage when dealing with local regulators or Arabic-speaking audit teams.</w:t>
      </w:r>
    </w:p>
    <w:p w14:paraId="6A578453" w14:textId="77777777" w:rsidR="00DC237F" w:rsidRDefault="00DC237F" w:rsidP="00DC237F">
      <w:pPr>
        <w:numPr>
          <w:ilvl w:val="0"/>
          <w:numId w:val="2"/>
        </w:numPr>
      </w:pPr>
      <w:r>
        <w:rPr>
          <w:b/>
          <w:bCs/>
        </w:rPr>
        <w:t>Complexity &amp; Deployment Time:</w:t>
      </w:r>
      <w:r>
        <w:t xml:space="preserve"> Enterprise GRC solutions are </w:t>
      </w:r>
      <w:r>
        <w:rPr>
          <w:b/>
          <w:bCs/>
        </w:rPr>
        <w:t>powerful but heavy</w:t>
      </w:r>
      <w:r>
        <w:t>. They typically require a substantial implementation project with skilled personnel to configure the system, integrate data sources, and customize workflows for the client</w:t>
      </w:r>
      <w:hyperlink r:id="rId90" w:anchor=":~:text=speaking%20audit%20teams">
        <w:r>
          <w:rPr>
            <w:rStyle w:val="Hyperlink"/>
          </w:rPr>
          <w:t>[59]</w:t>
        </w:r>
      </w:hyperlink>
      <w:hyperlink r:id="rId91" w:anchor=":~:text=Deployment%20Agility%3A%20These%20enterprise%20GRC,ServiceNow%20GRC%20for%20workflows%2C%20we">
        <w:r>
          <w:rPr>
            <w:rStyle w:val="Hyperlink"/>
          </w:rPr>
          <w:t>[60]</w:t>
        </w:r>
      </w:hyperlink>
      <w:r>
        <w:t xml:space="preserve">. In Saudi, we’ve seen deployments of such tools take 6-12 months before delivering any real value – and some organizations abandon full implementation due to complexity. Many mid-sized Saudi companies that bought a global GRC tool ended up using only a small fraction of its </w:t>
      </w:r>
      <w:r>
        <w:lastRenderedPageBreak/>
        <w:t xml:space="preserve">capabilities, effectively using it as a document repository while still doing a lot manually. In contrast, Doğan AI Lab targets the critical 20% of use-cases that cover 80% of needs (core compliance checks and reports), enabling </w:t>
      </w:r>
      <w:r>
        <w:rPr>
          <w:b/>
          <w:bCs/>
        </w:rPr>
        <w:t>much faster deployment</w:t>
      </w:r>
      <w:r>
        <w:t xml:space="preserve">. We position ourselves as a </w:t>
      </w:r>
      <w:r>
        <w:rPr>
          <w:b/>
          <w:bCs/>
        </w:rPr>
        <w:t>“compliance accelerator”</w:t>
      </w:r>
      <w:r>
        <w:t xml:space="preserve"> that could even complement those big platforms – for instance, feeding our automated findings into a ServiceNow GRC module if a client has one, thereby jump-starting their usage of that tool</w:t>
      </w:r>
      <w:hyperlink r:id="rId92" w:anchor=":~:text=organizations%20who%20purchased%20such%20tools,compliance%20check%20results%20into%20it">
        <w:r>
          <w:rPr>
            <w:rStyle w:val="Hyperlink"/>
          </w:rPr>
          <w:t>[61]</w:t>
        </w:r>
      </w:hyperlink>
      <w:hyperlink r:id="rId93" w:anchor=":~:text=80%2F20%20use,compliance%20check%20results%20into%20it">
        <w:r>
          <w:rPr>
            <w:rStyle w:val="Hyperlink"/>
          </w:rPr>
          <w:t>[62]</w:t>
        </w:r>
      </w:hyperlink>
      <w:r>
        <w:t xml:space="preserve">. Our appliance can be deployed and </w:t>
      </w:r>
      <w:proofErr w:type="gramStart"/>
      <w:r>
        <w:t>showing</w:t>
      </w:r>
      <w:proofErr w:type="gramEnd"/>
      <w:r>
        <w:t xml:space="preserve"> results in a few weeks, giving immediate ROI.</w:t>
      </w:r>
    </w:p>
    <w:p w14:paraId="3A7C609C" w14:textId="77777777" w:rsidR="00DC237F" w:rsidRDefault="00DC237F" w:rsidP="00DC237F">
      <w:pPr>
        <w:numPr>
          <w:ilvl w:val="0"/>
          <w:numId w:val="2"/>
        </w:numPr>
      </w:pPr>
      <w:r>
        <w:rPr>
          <w:b/>
          <w:bCs/>
        </w:rPr>
        <w:t>Focus on Documentation vs. Evidence:</w:t>
      </w:r>
      <w:r>
        <w:t xml:space="preserve"> Global GRC platforms are generally </w:t>
      </w:r>
      <w:r>
        <w:rPr>
          <w:b/>
          <w:bCs/>
        </w:rPr>
        <w:t>system-of-record and workflow management</w:t>
      </w:r>
      <w:r>
        <w:t xml:space="preserve"> tools. They help you document controls, assign owners, track remediation tasks, and manage risk registers. What they typically do </w:t>
      </w:r>
      <w:r>
        <w:rPr>
          <w:i/>
          <w:iCs/>
        </w:rPr>
        <w:t>not</w:t>
      </w:r>
      <w:r>
        <w:t xml:space="preserve"> do is actively gather evidence from systems – they assume the user will attach or input the evidence. Doğan AI Lab, being installed on the client network, can actually </w:t>
      </w:r>
      <w:r>
        <w:rPr>
          <w:b/>
          <w:bCs/>
        </w:rPr>
        <w:t>reach into IT systems to perform checks</w:t>
      </w:r>
      <w:r>
        <w:t xml:space="preserve"> (with appropriate permissions)</w:t>
      </w:r>
      <w:hyperlink r:id="rId94" w:anchor=":~:text=Focus%20on%20Control%20vs,to%20manually%20collect%20screenshots%20or">
        <w:r>
          <w:rPr>
            <w:rStyle w:val="Hyperlink"/>
          </w:rPr>
          <w:t>[63]</w:t>
        </w:r>
      </w:hyperlink>
      <w:hyperlink r:id="rId95" w:anchor=":~:text=and%20workflow%20tools%20%E2%80%93%20they,or%20exports%20for%20each%20control">
        <w:r>
          <w:rPr>
            <w:rStyle w:val="Hyperlink"/>
          </w:rPr>
          <w:t>[64]</w:t>
        </w:r>
      </w:hyperlink>
      <w:r>
        <w:t>. For example, rather than asking the user “Is two-factor authentication enabled on all critical systems?” and waiting for someone to upload proof, our platform can connect to those systems (or read from an Active Directory export) to verify 2FA settings automatically. This capability to go beyond “paper compliance” into technical verification is a major differentiator. It relieves staff from manually collecting screenshots or data for each control – a tedious part of audits that global tools don’t alleviate.</w:t>
      </w:r>
    </w:p>
    <w:p w14:paraId="50930F32" w14:textId="77777777" w:rsidR="00DC237F" w:rsidRDefault="00DC237F" w:rsidP="00DC237F">
      <w:pPr>
        <w:numPr>
          <w:ilvl w:val="0"/>
          <w:numId w:val="2"/>
        </w:numPr>
      </w:pPr>
      <w:r>
        <w:rPr>
          <w:b/>
          <w:bCs/>
        </w:rPr>
        <w:t>Cost &amp; Scale:</w:t>
      </w:r>
      <w:r>
        <w:t xml:space="preserve"> Enterprise GRC software is expensive (often six or seven-figure license costs) and usually targets very large organizations. For many Saudi companies and government agencies, those solutions are overkill in breadth and come with high TCO – not just license fees, but also the cost of external consultants needed to configure and maintain them. For mid-market organizations or those in early maturity, adopting those tools can be like “using a cannon to kill a fly.” Our solution is aimed </w:t>
      </w:r>
      <w:proofErr w:type="gramStart"/>
      <w:r>
        <w:t>to be</w:t>
      </w:r>
      <w:proofErr w:type="gramEnd"/>
      <w:r>
        <w:t xml:space="preserve"> more </w:t>
      </w:r>
      <w:r>
        <w:rPr>
          <w:b/>
          <w:bCs/>
        </w:rPr>
        <w:t xml:space="preserve">cost-effective and </w:t>
      </w:r>
      <w:proofErr w:type="gramStart"/>
      <w:r>
        <w:rPr>
          <w:b/>
          <w:bCs/>
        </w:rPr>
        <w:t>right-sized</w:t>
      </w:r>
      <w:proofErr w:type="gramEnd"/>
      <w:r>
        <w:t>, with an appliance + subscription model. There’s no need for a year of Accenture consulting to make it work – we’ve pre-built the necessary content. We drastically reduce reliance on expensive external services over time</w:t>
      </w:r>
      <w:hyperlink r:id="rId96" w:anchor=":~:text=Cost%20and%20Complexity%3A%20Enterprise%20GRC,external%20consultants%20by%20automating%20tasks">
        <w:r>
          <w:rPr>
            <w:rStyle w:val="Hyperlink"/>
          </w:rPr>
          <w:t>[65]</w:t>
        </w:r>
      </w:hyperlink>
      <w:hyperlink r:id="rId97" w:anchor=":~:text=engagement%20is%20a%20bespoke%20project,leaves%20when%20the%20consultants%20leave">
        <w:r>
          <w:rPr>
            <w:rStyle w:val="Hyperlink"/>
          </w:rPr>
          <w:t>[66]</w:t>
        </w:r>
      </w:hyperlink>
      <w:r>
        <w:t>.</w:t>
      </w:r>
    </w:p>
    <w:p w14:paraId="34BAD8CA" w14:textId="77777777" w:rsidR="00DC237F" w:rsidRDefault="00DC237F" w:rsidP="00DC237F">
      <w:pPr>
        <w:pStyle w:val="FirstParagraph"/>
      </w:pPr>
      <w:r>
        <w:rPr>
          <w:b/>
          <w:bCs/>
        </w:rPr>
        <w:t>Doğan AI Lab vs Global Platforms:</w:t>
      </w:r>
      <w:r>
        <w:t xml:space="preserve"> In essence, we offer the </w:t>
      </w:r>
      <w:r>
        <w:rPr>
          <w:b/>
          <w:bCs/>
        </w:rPr>
        <w:t>localization and agility</w:t>
      </w:r>
      <w:r>
        <w:t xml:space="preserve"> that global platforms lack. One could analogize: Doğan AI Lab is like taking IBM OpenPages and </w:t>
      </w:r>
      <w:r>
        <w:rPr>
          <w:b/>
          <w:bCs/>
        </w:rPr>
        <w:t>giving it a “Saudi brain” and a turbo boost</w:t>
      </w:r>
      <w:hyperlink r:id="rId98" w:anchor=":~:text=Our%20Advantage%20over%20Global%20Platforms%3A,defense">
        <w:r>
          <w:rPr>
            <w:rStyle w:val="Hyperlink"/>
          </w:rPr>
          <w:t>[67]</w:t>
        </w:r>
      </w:hyperlink>
      <w:r>
        <w:t xml:space="preserve">. We incorporate global best practices (we too support ISO, NIST, etc.), but then hyper-localize by including NCA, SAMA, PDPL content and Arabic support natively. And we deliver tangible results faster than a big platform ever could. We don’t necessarily seek to replace all functionality of an Archer or OpenPages (they have breadth in ERM, audit management, etc. beyond pure compliance checks), but we present ourselves as the </w:t>
      </w:r>
      <w:r>
        <w:rPr>
          <w:b/>
          <w:bCs/>
        </w:rPr>
        <w:t>Saudi-focused accelerator or companion</w:t>
      </w:r>
      <w:r>
        <w:t xml:space="preserve"> to these. This is a compelling story for customers who ask: “Will this tool understand my local needs quickly?” – with Doğan AI Lab, the answer is yes. Additionally, our </w:t>
      </w:r>
      <w:r>
        <w:rPr>
          <w:b/>
          <w:bCs/>
        </w:rPr>
        <w:t>dedicated hardware</w:t>
      </w:r>
      <w:r>
        <w:t xml:space="preserve"> option lets us serve high-security environments that global cloud-based tools </w:t>
      </w:r>
      <w:r>
        <w:lastRenderedPageBreak/>
        <w:t>cannot (e.g. certain government or defense orgs where those tools aren’t even allowed)</w:t>
      </w:r>
      <w:hyperlink r:id="rId99" w:anchor=":~:text=position%20as%20the%20Saudi,that%20won%E2%80%99t%20allow%20external%20SaaS">
        <w:r>
          <w:rPr>
            <w:rStyle w:val="Hyperlink"/>
          </w:rPr>
          <w:t>[68]</w:t>
        </w:r>
      </w:hyperlink>
      <w:r>
        <w:t xml:space="preserve">. </w:t>
      </w:r>
      <w:proofErr w:type="spellStart"/>
      <w:r>
        <w:t>OneTrust</w:t>
      </w:r>
      <w:proofErr w:type="spellEnd"/>
      <w:r>
        <w:t xml:space="preserve">, for example, is great for privacy compliance globally, but if a Saudi client asks “Does it support NCA ECC out-of-box?”, the answer would be </w:t>
      </w:r>
      <w:r>
        <w:rPr>
          <w:i/>
          <w:iCs/>
        </w:rPr>
        <w:t>no</w:t>
      </w:r>
      <w:r>
        <w:t xml:space="preserve"> – whereas with Doğan, it’s </w:t>
      </w:r>
      <w:r>
        <w:rPr>
          <w:i/>
          <w:iCs/>
        </w:rPr>
        <w:t>yes</w:t>
      </w:r>
      <w:hyperlink r:id="rId100" w:anchor=":~:text=One%20example%3A%20OneTrust%20,often%20ask%20these%20specific%20questions">
        <w:r>
          <w:rPr>
            <w:rStyle w:val="Hyperlink"/>
          </w:rPr>
          <w:t>[69]</w:t>
        </w:r>
      </w:hyperlink>
      <w:r>
        <w:t>. This immediate localization is a huge selling point in our market.</w:t>
      </w:r>
    </w:p>
    <w:p w14:paraId="7F1B9F3C" w14:textId="77777777" w:rsidR="00DC237F" w:rsidRDefault="00DC237F" w:rsidP="00DC237F">
      <w:pPr>
        <w:pStyle w:val="BodyText"/>
      </w:pPr>
      <w:r>
        <w:rPr>
          <w:b/>
          <w:bCs/>
        </w:rPr>
        <w:t>3. Consulting Firms (Big 4 and Boutiques):</w:t>
      </w:r>
      <w:r>
        <w:t xml:space="preserve"> The third category of “competitor” is the existing practice of relying on </w:t>
      </w:r>
      <w:r>
        <w:rPr>
          <w:b/>
          <w:bCs/>
        </w:rPr>
        <w:t>consultants and auditors</w:t>
      </w:r>
      <w:r>
        <w:t xml:space="preserve"> for compliance and risk management. Firms like Deloitte, PwC, EY, KPMG, Accenture, and specialized local consultancies (often staffed by former regulators or security experts) are deeply involved in the Saudi compliance landscape</w:t>
      </w:r>
      <w:hyperlink r:id="rId101" w:anchor=":~:text=global%20GRC%20tools%20as%20part,The%20pros%20and%20cons%20here">
        <w:r>
          <w:rPr>
            <w:rStyle w:val="Hyperlink"/>
          </w:rPr>
          <w:t>[70]</w:t>
        </w:r>
      </w:hyperlink>
      <w:r>
        <w:t>. They often lead projects for PDPL readiness, NCA compliance assessments, ISO 27001 implementations, etc.</w:t>
      </w:r>
    </w:p>
    <w:p w14:paraId="61B8C98A" w14:textId="77777777" w:rsidR="00DC237F" w:rsidRDefault="00DC237F" w:rsidP="00DC237F">
      <w:pPr>
        <w:numPr>
          <w:ilvl w:val="0"/>
          <w:numId w:val="2"/>
        </w:numPr>
      </w:pPr>
      <w:r>
        <w:rPr>
          <w:i/>
          <w:iCs/>
        </w:rPr>
        <w:t>Strengths:</w:t>
      </w:r>
      <w:r>
        <w:t xml:space="preserve"> These firms bring credibility and breadth of expertise. Regulators in Saudi often have people who came from these firms, so their methodologies carry weight</w:t>
      </w:r>
      <w:hyperlink r:id="rId102" w:anchor=":~:text=Strengths%3A%20These%20firms%20have%20strong,team%20where%20skills%20are%20lacking">
        <w:r>
          <w:rPr>
            <w:rStyle w:val="Hyperlink"/>
          </w:rPr>
          <w:t>[71]</w:t>
        </w:r>
      </w:hyperlink>
      <w:r>
        <w:t xml:space="preserve">. They provide not just compliance checking but also broader governance advice, process improvements, and can hand-hold an organization through complex changes. Essentially, they </w:t>
      </w:r>
      <w:r>
        <w:rPr>
          <w:b/>
          <w:bCs/>
        </w:rPr>
        <w:t>augment the client’s team with skilled human resources</w:t>
      </w:r>
      <w:r>
        <w:t>, which is valuable when internal capabilities are lacking. In absence of good software, this human-driven approach has been the default – and it does get organizations to a compliant state eventually, while also transferring knowledge in the process.</w:t>
      </w:r>
    </w:p>
    <w:p w14:paraId="0918A002" w14:textId="77777777" w:rsidR="00DC237F" w:rsidRDefault="00DC237F" w:rsidP="00DC237F">
      <w:pPr>
        <w:numPr>
          <w:ilvl w:val="0"/>
          <w:numId w:val="2"/>
        </w:numPr>
      </w:pPr>
      <w:r>
        <w:rPr>
          <w:i/>
          <w:iCs/>
        </w:rPr>
        <w:t>Weaknesses:</w:t>
      </w:r>
      <w:r>
        <w:t xml:space="preserve"> As noted earlier, the consulting approach is </w:t>
      </w:r>
      <w:r>
        <w:rPr>
          <w:b/>
          <w:bCs/>
        </w:rPr>
        <w:t>slow, manual, and expensive</w:t>
      </w:r>
      <w:hyperlink r:id="rId103" w:anchor=":~:text=Weaknesses%3A%20The%20consulting%20approach%20is,leaves%20when%20the%20consultants%20leave">
        <w:r>
          <w:rPr>
            <w:rStyle w:val="Hyperlink"/>
          </w:rPr>
          <w:t>[39]</w:t>
        </w:r>
      </w:hyperlink>
      <w:r>
        <w:t>. Each engagement is like reinventing the wheel (especially if no continuous system is put in place) – consultants interview staff, collect evidence by hand, and compile reports. This takes months, and by the time a report is delivered, it reflects a past state of compliance that might already be outdated. There’s also the issue of scalability: hiring more consultants doesn’t exponentially increase coverage, because quality and consistency can vary. Knowledge is siloed in the individuals who did the work, and when the project ends, much of the tacit knowledge leaves with them</w:t>
      </w:r>
      <w:hyperlink r:id="rId104" w:anchor=":~:text=collection%20by%20hand%2C%20and%20then,leaves%20when%20the%20consultants%20leave">
        <w:r>
          <w:rPr>
            <w:rStyle w:val="Hyperlink"/>
          </w:rPr>
          <w:t>[72]</w:t>
        </w:r>
      </w:hyperlink>
      <w:hyperlink r:id="rId105" w:anchor=":~:text=need%20for%20large%20consulting%20engagements,after%20deploying%20an%20automated%20solution">
        <w:r>
          <w:rPr>
            <w:rStyle w:val="Hyperlink"/>
          </w:rPr>
          <w:t>[73]</w:t>
        </w:r>
      </w:hyperlink>
      <w:r>
        <w:t xml:space="preserve">. It’s also extremely costly to do this every year or for every new regulation. The </w:t>
      </w:r>
      <w:r>
        <w:rPr>
          <w:b/>
          <w:bCs/>
        </w:rPr>
        <w:t>total cost of compliance via consulting</w:t>
      </w:r>
      <w:r>
        <w:t xml:space="preserve"> accumulates year after year with little efficiency gain – you’re essentially renting expertise repeatedly</w:t>
      </w:r>
      <w:hyperlink r:id="rId106" w:anchor=":~:text=%E2%9D%8C%20High%20upfront%20license%20cost,large%20enterprises%20with%20big%20budgets">
        <w:r>
          <w:rPr>
            <w:rStyle w:val="Hyperlink"/>
          </w:rPr>
          <w:t>[74]</w:t>
        </w:r>
      </w:hyperlink>
      <w:r>
        <w:t>.</w:t>
      </w:r>
    </w:p>
    <w:p w14:paraId="10BF1D49" w14:textId="77777777" w:rsidR="00DC237F" w:rsidRDefault="00DC237F" w:rsidP="00DC237F">
      <w:pPr>
        <w:numPr>
          <w:ilvl w:val="0"/>
          <w:numId w:val="2"/>
        </w:numPr>
      </w:pPr>
      <w:r>
        <w:rPr>
          <w:i/>
          <w:iCs/>
        </w:rPr>
        <w:t>Consultants vs. Tools:</w:t>
      </w:r>
      <w:r>
        <w:t xml:space="preserve"> We don’t see consulting firms exactly as “competition” in a product sense – in fact, consultants could be our partners or users (they could use our platform to deliver their services more efficiently). However, from a client perspective, a successful deployment of Doğan AI Lab will inevitably </w:t>
      </w:r>
      <w:r>
        <w:rPr>
          <w:b/>
          <w:bCs/>
        </w:rPr>
        <w:t>reduce the need for large consulting engagements</w:t>
      </w:r>
      <w:r>
        <w:t xml:space="preserve"> over time</w:t>
      </w:r>
      <w:hyperlink r:id="rId107" w:anchor=":~:text=Competition%20vs%20Collaboration%3A%20Our%20platform,after%20deploying%20an%20automated%20solution">
        <w:r>
          <w:rPr>
            <w:rStyle w:val="Hyperlink"/>
          </w:rPr>
          <w:t>[75]</w:t>
        </w:r>
      </w:hyperlink>
      <w:hyperlink r:id="rId108" w:anchor=":~:text=Our%20Advantage%20over%20Consulting%3A%20Efficiency,making%2C%20rather">
        <w:r>
          <w:rPr>
            <w:rStyle w:val="Hyperlink"/>
          </w:rPr>
          <w:t>[76]</w:t>
        </w:r>
      </w:hyperlink>
      <w:r>
        <w:t>. If our appliance can continuously monitor compliance, a client might not need to pay a Big 4 team for a 3-month assessment – or they might drastically cut its scope and length. Thus, part of our value proposition is cost savings and efficiency gains compared to the consulting-heavy model.</w:t>
      </w:r>
    </w:p>
    <w:p w14:paraId="0ED3219C" w14:textId="77777777" w:rsidR="00DC237F" w:rsidRDefault="00DC237F" w:rsidP="00DC237F">
      <w:pPr>
        <w:pStyle w:val="FirstParagraph"/>
      </w:pPr>
      <w:r>
        <w:rPr>
          <w:b/>
          <w:bCs/>
        </w:rPr>
        <w:lastRenderedPageBreak/>
        <w:t>Doğan AI Lab vs Consulting Approach:</w:t>
      </w:r>
      <w:r>
        <w:t xml:space="preserve"> The advantage we provide is </w:t>
      </w:r>
      <w:r>
        <w:rPr>
          <w:b/>
          <w:bCs/>
        </w:rPr>
        <w:t>efficiency, consistency, and continuity</w:t>
      </w:r>
      <w:r>
        <w:t>. Our platform turns compliance into a 24/7 automated process, instead of an episodic project done by people once a year</w:t>
      </w:r>
      <w:hyperlink r:id="rId109" w:anchor=":~:text=Our%20Advantage%20over%20Consulting%3A%20Efficiency,making%2C%20rather">
        <w:r>
          <w:rPr>
            <w:rStyle w:val="Hyperlink"/>
          </w:rPr>
          <w:t>[76]</w:t>
        </w:r>
      </w:hyperlink>
      <w:r>
        <w:t xml:space="preserve">. The rules in our system perform checks the same standardized way every time – eliminating human inconsistencies or oversights. We also enable </w:t>
      </w:r>
      <w:r>
        <w:rPr>
          <w:b/>
          <w:bCs/>
        </w:rPr>
        <w:t>continuous compliance</w:t>
      </w:r>
      <w:r>
        <w:t>: instead of saying “we were compliant as of last November’s audit,” organizations can say “we are compliant today and monitoring in real-time”</w:t>
      </w:r>
      <w:hyperlink r:id="rId110" w:anchor=":~:text=Continuous%20Compliance">
        <w:r>
          <w:rPr>
            <w:rStyle w:val="Hyperlink"/>
          </w:rPr>
          <w:t>[77]</w:t>
        </w:r>
      </w:hyperlink>
      <w:r>
        <w:t xml:space="preserve">. This is a paradigm shift. It doesn’t eliminate the need for human judgment – you still need experts to interpret results and handle exceptional situations – but it </w:t>
      </w:r>
      <w:r>
        <w:rPr>
          <w:b/>
          <w:bCs/>
        </w:rPr>
        <w:t>refocuses human effort on higher-value tasks</w:t>
      </w:r>
      <w:r>
        <w:t xml:space="preserve"> (like risk decision-making and remediation planning) rather than on grunt work (counting compliance items or chasing documentation)</w:t>
      </w:r>
      <w:hyperlink r:id="rId111" w:anchor=":~:text=one,number%20crunching%20and%20chasing%20evidence">
        <w:r>
          <w:rPr>
            <w:rStyle w:val="Hyperlink"/>
          </w:rPr>
          <w:t>[78]</w:t>
        </w:r>
      </w:hyperlink>
      <w:r>
        <w:t>. Moreover, the cost model of Doğan AI Lab (appliance + subscription) will, in most cases, be far cheaper than paying consulting fees for each compliance initiative</w:t>
      </w:r>
      <w:hyperlink r:id="rId112" w:anchor=":~:text=Cost%20Model%20%26%20Efficiency">
        <w:r>
          <w:rPr>
            <w:rStyle w:val="Hyperlink"/>
          </w:rPr>
          <w:t>[79]</w:t>
        </w:r>
      </w:hyperlink>
      <w:hyperlink r:id="rId113" w:anchor=":~:text=Better%20suited%20for%20large%20enterprises,with%20big%20budgets">
        <w:r>
          <w:rPr>
            <w:rStyle w:val="Hyperlink"/>
          </w:rPr>
          <w:t>[80]</w:t>
        </w:r>
      </w:hyperlink>
      <w:r>
        <w:t>. For example, a single 3-month compliance review project by a consultancy might cost as much as our solution does for an entire year – and our solution keeps working continuously beyond that, whereas the consultancy would charge again for the next project. This cost-effectiveness, combined with faster results and continuous assurance, is a compelling argument in budget discussions.</w:t>
      </w:r>
    </w:p>
    <w:p w14:paraId="54BD17F7" w14:textId="77777777" w:rsidR="00DC237F" w:rsidRDefault="00DC237F" w:rsidP="00DC237F">
      <w:pPr>
        <w:pStyle w:val="BodyText"/>
      </w:pPr>
      <w:r>
        <w:t xml:space="preserve">To crystallize the comparison, the following table provides a quick </w:t>
      </w:r>
      <w:r>
        <w:rPr>
          <w:b/>
          <w:bCs/>
        </w:rPr>
        <w:t>matrix view of Doğan AI Lab vs each competitor category</w:t>
      </w:r>
      <w:r>
        <w:t xml:space="preserve"> on key criteria:</w:t>
      </w:r>
    </w:p>
    <w:tbl>
      <w:tblPr>
        <w:tblStyle w:val="Table"/>
        <w:tblW w:w="0" w:type="auto"/>
        <w:tblLook w:val="0020" w:firstRow="1" w:lastRow="0" w:firstColumn="0" w:lastColumn="0" w:noHBand="0" w:noVBand="0"/>
      </w:tblPr>
      <w:tblGrid>
        <w:gridCol w:w="1348"/>
        <w:gridCol w:w="1864"/>
        <w:gridCol w:w="1964"/>
        <w:gridCol w:w="2183"/>
        <w:gridCol w:w="2001"/>
      </w:tblGrid>
      <w:tr w:rsidR="00DC237F" w14:paraId="0156E304" w14:textId="77777777" w:rsidTr="00372647">
        <w:trPr>
          <w:cnfStyle w:val="100000000000" w:firstRow="1" w:lastRow="0" w:firstColumn="0" w:lastColumn="0" w:oddVBand="0" w:evenVBand="0" w:oddHBand="0" w:evenHBand="0" w:firstRowFirstColumn="0" w:firstRowLastColumn="0" w:lastRowFirstColumn="0" w:lastRowLastColumn="0"/>
          <w:tblHeader/>
        </w:trPr>
        <w:tc>
          <w:tcPr>
            <w:tcW w:w="0" w:type="auto"/>
          </w:tcPr>
          <w:p w14:paraId="754D44B4" w14:textId="77777777" w:rsidR="00DC237F" w:rsidRDefault="00DC237F" w:rsidP="00372647">
            <w:pPr>
              <w:pStyle w:val="Compact"/>
            </w:pPr>
            <w:r>
              <w:rPr>
                <w:b/>
                <w:bCs/>
              </w:rPr>
              <w:t>Criteria</w:t>
            </w:r>
          </w:p>
        </w:tc>
        <w:tc>
          <w:tcPr>
            <w:tcW w:w="0" w:type="auto"/>
          </w:tcPr>
          <w:p w14:paraId="3051B5C3" w14:textId="77777777" w:rsidR="00DC237F" w:rsidRDefault="00DC237F" w:rsidP="00372647">
            <w:pPr>
              <w:pStyle w:val="Compact"/>
            </w:pPr>
            <w:r>
              <w:rPr>
                <w:b/>
                <w:bCs/>
              </w:rPr>
              <w:t>Doğan AI Lab (Our Platform)</w:t>
            </w:r>
          </w:p>
        </w:tc>
        <w:tc>
          <w:tcPr>
            <w:tcW w:w="0" w:type="auto"/>
          </w:tcPr>
          <w:p w14:paraId="49B6C3CB" w14:textId="77777777" w:rsidR="00DC237F" w:rsidRDefault="00DC237F" w:rsidP="00372647">
            <w:pPr>
              <w:pStyle w:val="Compact"/>
            </w:pPr>
            <w:r>
              <w:rPr>
                <w:b/>
                <w:bCs/>
              </w:rPr>
              <w:t>Local GRC Platforms</w:t>
            </w:r>
            <w:r>
              <w:t>&lt;</w:t>
            </w:r>
            <w:proofErr w:type="spellStart"/>
            <w:r>
              <w:t>br</w:t>
            </w:r>
            <w:proofErr w:type="spellEnd"/>
            <w:r>
              <w:t>/</w:t>
            </w:r>
            <w:proofErr w:type="gramStart"/>
            <w:r>
              <w:t>&gt;(</w:t>
            </w:r>
            <w:proofErr w:type="gramEnd"/>
            <w:r>
              <w:t>e.g. MIZĀN, GRC Vantage)</w:t>
            </w:r>
          </w:p>
        </w:tc>
        <w:tc>
          <w:tcPr>
            <w:tcW w:w="0" w:type="auto"/>
          </w:tcPr>
          <w:p w14:paraId="0382274E" w14:textId="77777777" w:rsidR="00DC237F" w:rsidRDefault="00DC237F" w:rsidP="00372647">
            <w:pPr>
              <w:pStyle w:val="Compact"/>
            </w:pPr>
            <w:r>
              <w:rPr>
                <w:b/>
                <w:bCs/>
              </w:rPr>
              <w:t>Global GRC Platforms</w:t>
            </w:r>
            <w:r>
              <w:t>&lt;</w:t>
            </w:r>
            <w:proofErr w:type="spellStart"/>
            <w:r>
              <w:t>br</w:t>
            </w:r>
            <w:proofErr w:type="spellEnd"/>
            <w:r>
              <w:t>/</w:t>
            </w:r>
            <w:proofErr w:type="gramStart"/>
            <w:r>
              <w:t>&gt;(</w:t>
            </w:r>
            <w:proofErr w:type="gramEnd"/>
            <w:r>
              <w:t>e.g. Archer, ServiceNow)</w:t>
            </w:r>
          </w:p>
        </w:tc>
        <w:tc>
          <w:tcPr>
            <w:tcW w:w="0" w:type="auto"/>
          </w:tcPr>
          <w:p w14:paraId="332A85AC" w14:textId="77777777" w:rsidR="00DC237F" w:rsidRDefault="00DC237F" w:rsidP="00372647">
            <w:pPr>
              <w:pStyle w:val="Compact"/>
            </w:pPr>
            <w:r>
              <w:rPr>
                <w:b/>
                <w:bCs/>
              </w:rPr>
              <w:t>Consulting Services</w:t>
            </w:r>
            <w:r>
              <w:t>&lt;</w:t>
            </w:r>
            <w:proofErr w:type="spellStart"/>
            <w:r>
              <w:t>br</w:t>
            </w:r>
            <w:proofErr w:type="spellEnd"/>
            <w:r>
              <w:t>/</w:t>
            </w:r>
            <w:proofErr w:type="gramStart"/>
            <w:r>
              <w:t>&gt;(</w:t>
            </w:r>
            <w:proofErr w:type="gramEnd"/>
            <w:r>
              <w:t>Big 4, etc.)</w:t>
            </w:r>
          </w:p>
        </w:tc>
      </w:tr>
      <w:tr w:rsidR="00DC237F" w14:paraId="0B3654F8" w14:textId="77777777" w:rsidTr="00372647">
        <w:tc>
          <w:tcPr>
            <w:tcW w:w="0" w:type="auto"/>
          </w:tcPr>
          <w:p w14:paraId="7D4FC786" w14:textId="77777777" w:rsidR="00DC237F" w:rsidRDefault="00DC237F" w:rsidP="00372647">
            <w:pPr>
              <w:pStyle w:val="Compact"/>
            </w:pPr>
            <w:r>
              <w:rPr>
                <w:b/>
                <w:bCs/>
              </w:rPr>
              <w:t>Saudi Framework Coverage</w:t>
            </w:r>
          </w:p>
        </w:tc>
        <w:tc>
          <w:tcPr>
            <w:tcW w:w="0" w:type="auto"/>
          </w:tcPr>
          <w:p w14:paraId="78A64CEC" w14:textId="77777777" w:rsidR="00DC237F" w:rsidRDefault="00DC237F" w:rsidP="00372647">
            <w:pPr>
              <w:pStyle w:val="Compact"/>
            </w:pPr>
            <w:r>
              <w:t xml:space="preserve">✓ </w:t>
            </w:r>
            <w:r>
              <w:rPr>
                <w:b/>
                <w:bCs/>
              </w:rPr>
              <w:t>Pre-mapped NCA ECC v2, SAMA CSF, PDPL</w:t>
            </w:r>
            <w:r>
              <w:t xml:space="preserve"> (plus ISO/NIST) out-of-box</w:t>
            </w:r>
            <w:hyperlink r:id="rId114" w:anchor=":~:text=%E2%9C%85%20Pre,for%20new%20KSA%20regs%20included">
              <w:r>
                <w:rPr>
                  <w:rStyle w:val="Hyperlink"/>
                </w:rPr>
                <w:t>[81]</w:t>
              </w:r>
            </w:hyperlink>
            <w:r>
              <w:t>. Updates for new KSA regs included automatically.</w:t>
            </w:r>
          </w:p>
        </w:tc>
        <w:tc>
          <w:tcPr>
            <w:tcW w:w="0" w:type="auto"/>
          </w:tcPr>
          <w:p w14:paraId="1EE1FF09" w14:textId="77777777" w:rsidR="00DC237F" w:rsidRDefault="00DC237F" w:rsidP="00372647">
            <w:pPr>
              <w:pStyle w:val="Compact"/>
            </w:pPr>
            <w:r>
              <w:t>✓ Focused on NCA/SAMA, strong local alignment</w:t>
            </w:r>
            <w:hyperlink r:id="rId115" w:anchor=":~:text=%E2%9C%85%20NCA%2FSAMA%20focused%2C%20strong%20local,limited%20international%20scope">
              <w:r>
                <w:rPr>
                  <w:rStyle w:val="Hyperlink"/>
                </w:rPr>
                <w:t>[82]</w:t>
              </w:r>
            </w:hyperlink>
            <w:r>
              <w:t>, but limited coverage of international standards.</w:t>
            </w:r>
          </w:p>
        </w:tc>
        <w:tc>
          <w:tcPr>
            <w:tcW w:w="0" w:type="auto"/>
          </w:tcPr>
          <w:p w14:paraId="5F01B523" w14:textId="77777777" w:rsidR="00DC237F" w:rsidRDefault="00DC237F" w:rsidP="00372647">
            <w:pPr>
              <w:pStyle w:val="Compact"/>
            </w:pPr>
            <w:r>
              <w:t>✓ Excellent on ISO/NIST/PCI, etc.&lt;</w:t>
            </w:r>
            <w:proofErr w:type="spellStart"/>
            <w:r>
              <w:t>br</w:t>
            </w:r>
            <w:proofErr w:type="spellEnd"/>
            <w:r>
              <w:t>/&gt;</w:t>
            </w:r>
            <w:r>
              <w:rPr>
                <w:b/>
                <w:bCs/>
              </w:rPr>
              <w:t>✗ Saudi-specific controls require manual setup</w:t>
            </w:r>
            <w:r>
              <w:t xml:space="preserve"> (no native NCA/PDPL content)</w:t>
            </w:r>
            <w:hyperlink r:id="rId116" w:anchor=":~:text=Localization%20%26%20Framework%20Mapping%3A%20Global,5">
              <w:r>
                <w:rPr>
                  <w:rStyle w:val="Hyperlink"/>
                </w:rPr>
                <w:t>[32]</w:t>
              </w:r>
            </w:hyperlink>
            <w:hyperlink r:id="rId117" w:anchor=":~:text=%E2%9C%85%20Strong%20on%20ISO%2FNIST%2FPCI%2C%20etc,Saudi%20specifics%20require%20custom%20setup">
              <w:r>
                <w:rPr>
                  <w:rStyle w:val="Hyperlink"/>
                </w:rPr>
                <w:t>[83]</w:t>
              </w:r>
            </w:hyperlink>
            <w:r>
              <w:t>.</w:t>
            </w:r>
          </w:p>
        </w:tc>
        <w:tc>
          <w:tcPr>
            <w:tcW w:w="0" w:type="auto"/>
          </w:tcPr>
          <w:p w14:paraId="5F8EFABF" w14:textId="77777777" w:rsidR="00DC237F" w:rsidRDefault="00DC237F" w:rsidP="00372647">
            <w:pPr>
              <w:pStyle w:val="Compact"/>
            </w:pPr>
            <w:r>
              <w:t>✓ Consultants are knowledgeable about local regs,&lt;</w:t>
            </w:r>
            <w:proofErr w:type="spellStart"/>
            <w:r>
              <w:t>br</w:t>
            </w:r>
            <w:proofErr w:type="spellEnd"/>
            <w:r>
              <w:t>/&gt;</w:t>
            </w:r>
            <w:r>
              <w:rPr>
                <w:b/>
                <w:bCs/>
              </w:rPr>
              <w:t>✗ but knowledge is in people’s heads, not in software</w:t>
            </w:r>
            <w:r>
              <w:t xml:space="preserve"> (manual compliance interpretation)</w:t>
            </w:r>
            <w:hyperlink r:id="rId118" w:anchor=":~:text=%E2%9C%85%20Strong%20on%20ISO%2FNIST%2FPCI%2C%20etc,Saudi%20specifics%20require%20custom%20setup">
              <w:r>
                <w:rPr>
                  <w:rStyle w:val="Hyperlink"/>
                </w:rPr>
                <w:t>[83]</w:t>
              </w:r>
            </w:hyperlink>
            <w:r>
              <w:t>.</w:t>
            </w:r>
          </w:p>
        </w:tc>
      </w:tr>
      <w:tr w:rsidR="00DC237F" w14:paraId="0B77E8EC" w14:textId="77777777" w:rsidTr="00372647">
        <w:tc>
          <w:tcPr>
            <w:tcW w:w="0" w:type="auto"/>
          </w:tcPr>
          <w:p w14:paraId="3E6670EE" w14:textId="77777777" w:rsidR="00DC237F" w:rsidRDefault="00DC237F" w:rsidP="00372647">
            <w:pPr>
              <w:pStyle w:val="Compact"/>
            </w:pPr>
            <w:r>
              <w:rPr>
                <w:b/>
                <w:bCs/>
              </w:rPr>
              <w:t>Language &amp; Reporting</w:t>
            </w:r>
          </w:p>
        </w:tc>
        <w:tc>
          <w:tcPr>
            <w:tcW w:w="0" w:type="auto"/>
          </w:tcPr>
          <w:p w14:paraId="7B073532" w14:textId="77777777" w:rsidR="00DC237F" w:rsidRDefault="00DC237F" w:rsidP="00372647">
            <w:pPr>
              <w:pStyle w:val="Compact"/>
            </w:pPr>
            <w:r>
              <w:t xml:space="preserve">✓ </w:t>
            </w:r>
            <w:r>
              <w:rPr>
                <w:b/>
                <w:bCs/>
              </w:rPr>
              <w:t>Bilingual UI and reports</w:t>
            </w:r>
            <w:r>
              <w:t xml:space="preserve"> (Arabic &amp; English) by design</w:t>
            </w:r>
            <w:hyperlink r:id="rId119" w:anchor=":~:text=%E2%9C%85%20Bilingual%20UI%20and%20reports,audit%20reports%20ready%20for%20regulators">
              <w:r>
                <w:rPr>
                  <w:rStyle w:val="Hyperlink"/>
                </w:rPr>
                <w:t>[24]</w:t>
              </w:r>
            </w:hyperlink>
            <w:r>
              <w:t xml:space="preserve"> – Arabic audit </w:t>
            </w:r>
            <w:r>
              <w:lastRenderedPageBreak/>
              <w:t>reports ready for regulators.</w:t>
            </w:r>
          </w:p>
        </w:tc>
        <w:tc>
          <w:tcPr>
            <w:tcW w:w="0" w:type="auto"/>
          </w:tcPr>
          <w:p w14:paraId="5E90BE17" w14:textId="77777777" w:rsidR="00DC237F" w:rsidRDefault="00DC237F" w:rsidP="00372647">
            <w:pPr>
              <w:pStyle w:val="Compact"/>
            </w:pPr>
            <w:r>
              <w:lastRenderedPageBreak/>
              <w:t>✓ Often offer bilingual documentation, though UI may be English-centric.</w:t>
            </w:r>
          </w:p>
        </w:tc>
        <w:tc>
          <w:tcPr>
            <w:tcW w:w="0" w:type="auto"/>
          </w:tcPr>
          <w:p w14:paraId="71D96D2A" w14:textId="77777777" w:rsidR="00DC237F" w:rsidRDefault="00DC237F" w:rsidP="00372647">
            <w:pPr>
              <w:pStyle w:val="Compact"/>
            </w:pPr>
            <w:r>
              <w:rPr>
                <w:b/>
                <w:bCs/>
              </w:rPr>
              <w:t>✗ Primarily English-only</w:t>
            </w:r>
            <w:r>
              <w:t>; Arabic interfaces or reports require customization</w:t>
            </w:r>
            <w:hyperlink r:id="rId120" w:anchor=":~:text=%E2%9C%85%20Often%20bilingual%20support%2C%20though,UI%2FUX%20may%20be%20less%20polished">
              <w:r>
                <w:rPr>
                  <w:rStyle w:val="Hyperlink"/>
                </w:rPr>
                <w:t>[33]</w:t>
              </w:r>
            </w:hyperlink>
            <w:hyperlink r:id="rId121" w:anchor=":~:text=%E2%9D%8C%20Primarily%20English,not%20standard%20without%20customization">
              <w:r>
                <w:rPr>
                  <w:rStyle w:val="Hyperlink"/>
                </w:rPr>
                <w:t>[58]</w:t>
              </w:r>
            </w:hyperlink>
            <w:r>
              <w:t>.</w:t>
            </w:r>
          </w:p>
        </w:tc>
        <w:tc>
          <w:tcPr>
            <w:tcW w:w="0" w:type="auto"/>
          </w:tcPr>
          <w:p w14:paraId="3D3DEB47" w14:textId="77777777" w:rsidR="00DC237F" w:rsidRDefault="00DC237F" w:rsidP="00372647">
            <w:pPr>
              <w:pStyle w:val="Compact"/>
            </w:pPr>
            <w:r>
              <w:rPr>
                <w:b/>
                <w:bCs/>
              </w:rPr>
              <w:t>✗ Deliverables mostly in English</w:t>
            </w:r>
            <w:r>
              <w:t xml:space="preserve"> (maybe an Arabic summary). Quality of Arabic depends on </w:t>
            </w:r>
            <w:r>
              <w:lastRenderedPageBreak/>
              <w:t>individual consultants</w:t>
            </w:r>
            <w:hyperlink r:id="rId122" w:anchor=":~:text=%E2%9C%85%20Often%20bilingual%20support%2C%20though,UI%2FUX%20may%20be%20less%20polished">
              <w:r>
                <w:rPr>
                  <w:rStyle w:val="Hyperlink"/>
                </w:rPr>
                <w:t>[33]</w:t>
              </w:r>
            </w:hyperlink>
            <w:hyperlink r:id="rId123" w:anchor=":~:text=%E2%9D%8C%20Primarily%20English,not%20standard%20without%20customization">
              <w:r>
                <w:rPr>
                  <w:rStyle w:val="Hyperlink"/>
                </w:rPr>
                <w:t>[58]</w:t>
              </w:r>
            </w:hyperlink>
            <w:r>
              <w:t>.</w:t>
            </w:r>
          </w:p>
        </w:tc>
      </w:tr>
      <w:tr w:rsidR="00DC237F" w14:paraId="3F404D66" w14:textId="77777777" w:rsidTr="00372647">
        <w:tc>
          <w:tcPr>
            <w:tcW w:w="0" w:type="auto"/>
          </w:tcPr>
          <w:p w14:paraId="122F6F51" w14:textId="77777777" w:rsidR="00DC237F" w:rsidRDefault="00DC237F" w:rsidP="00372647">
            <w:pPr>
              <w:pStyle w:val="Compact"/>
            </w:pPr>
            <w:r>
              <w:rPr>
                <w:b/>
                <w:bCs/>
              </w:rPr>
              <w:lastRenderedPageBreak/>
              <w:t>Automation &amp; AI</w:t>
            </w:r>
          </w:p>
        </w:tc>
        <w:tc>
          <w:tcPr>
            <w:tcW w:w="0" w:type="auto"/>
          </w:tcPr>
          <w:p w14:paraId="40CE3823" w14:textId="77777777" w:rsidR="00DC237F" w:rsidRDefault="00DC237F" w:rsidP="00372647">
            <w:pPr>
              <w:pStyle w:val="Compact"/>
            </w:pPr>
            <w:r>
              <w:t xml:space="preserve">✓ </w:t>
            </w:r>
            <w:r>
              <w:rPr>
                <w:b/>
                <w:bCs/>
              </w:rPr>
              <w:t>Automated evidence collection</w:t>
            </w:r>
            <w:r>
              <w:t xml:space="preserve"> (connect to systems, gather data); </w:t>
            </w:r>
            <w:r>
              <w:rPr>
                <w:b/>
                <w:bCs/>
              </w:rPr>
              <w:t>AI-driven</w:t>
            </w:r>
            <w:r>
              <w:t xml:space="preserve"> anomaly detection &amp; risk scoring</w:t>
            </w:r>
            <w:hyperlink r:id="rId124" w:anchor=":~:text=Automation%20%26%20AI">
              <w:r>
                <w:rPr>
                  <w:rStyle w:val="Hyperlink"/>
                </w:rPr>
                <w:t>[84]</w:t>
              </w:r>
            </w:hyperlink>
            <w:r>
              <w:t>. Minimal manual data entry required.</w:t>
            </w:r>
          </w:p>
        </w:tc>
        <w:tc>
          <w:tcPr>
            <w:tcW w:w="0" w:type="auto"/>
          </w:tcPr>
          <w:p w14:paraId="424C7C05" w14:textId="77777777" w:rsidR="00DC237F" w:rsidRDefault="00DC237F" w:rsidP="00372647">
            <w:pPr>
              <w:pStyle w:val="Compact"/>
            </w:pPr>
            <w:r>
              <w:rPr>
                <w:b/>
                <w:bCs/>
              </w:rPr>
              <w:t>✗ Mostly workflow automation; minimal AI.</w:t>
            </w:r>
            <w:r>
              <w:t xml:space="preserve"> Relies on users to input status (checklist style)</w:t>
            </w:r>
            <w:hyperlink r:id="rId125" w:anchor=":~:text=%E2%9C%85%20Automated%20evidence%20collection%3B%20AI,Minimal%20manual%20data%20entry">
              <w:r>
                <w:rPr>
                  <w:rStyle w:val="Hyperlink"/>
                </w:rPr>
                <w:t>[85]</w:t>
              </w:r>
            </w:hyperlink>
            <w:r>
              <w:t>.</w:t>
            </w:r>
          </w:p>
        </w:tc>
        <w:tc>
          <w:tcPr>
            <w:tcW w:w="0" w:type="auto"/>
          </w:tcPr>
          <w:p w14:paraId="0B3E9579" w14:textId="77777777" w:rsidR="00DC237F" w:rsidRDefault="00DC237F" w:rsidP="00372647">
            <w:pPr>
              <w:pStyle w:val="Compact"/>
            </w:pPr>
            <w:r>
              <w:t xml:space="preserve">⚠️ Some automation (control libraries, integration options) but </w:t>
            </w:r>
            <w:r>
              <w:rPr>
                <w:b/>
                <w:bCs/>
              </w:rPr>
              <w:t>primarily a management tool</w:t>
            </w:r>
            <w:r>
              <w:t>, not an evidence collector</w:t>
            </w:r>
            <w:hyperlink r:id="rId126" w:anchor=":~:text=%E2%9D%8C%20Mostly%20workflow%20automation%3B%20little,user%20input%20of%20compliance%20status">
              <w:r>
                <w:rPr>
                  <w:rStyle w:val="Hyperlink"/>
                </w:rPr>
                <w:t>[86]</w:t>
              </w:r>
            </w:hyperlink>
            <w:r>
              <w:t>.</w:t>
            </w:r>
          </w:p>
        </w:tc>
        <w:tc>
          <w:tcPr>
            <w:tcW w:w="0" w:type="auto"/>
          </w:tcPr>
          <w:p w14:paraId="7AF90BA2" w14:textId="77777777" w:rsidR="00DC237F" w:rsidRDefault="00DC237F" w:rsidP="00372647">
            <w:pPr>
              <w:pStyle w:val="Compact"/>
            </w:pPr>
            <w:r>
              <w:rPr>
                <w:b/>
                <w:bCs/>
              </w:rPr>
              <w:t>✗ No automation</w:t>
            </w:r>
            <w:r>
              <w:t xml:space="preserve"> – data gathering &amp; analysis are done manually by people</w:t>
            </w:r>
            <w:hyperlink r:id="rId127" w:anchor=":~:text=%E2%9C%85%20Automated%20evidence%20collection%3B%20AI,Minimal%20manual%20data%20entry">
              <w:r>
                <w:rPr>
                  <w:rStyle w:val="Hyperlink"/>
                </w:rPr>
                <w:t>[87]</w:t>
              </w:r>
            </w:hyperlink>
            <w:hyperlink r:id="rId128" w:anchor=":~:text=%E2%9A%A0%EF%B8%8F%20Some%20automation%20%28e,tool%2C%20not%20an%20evidence%20collector">
              <w:r>
                <w:rPr>
                  <w:rStyle w:val="Hyperlink"/>
                </w:rPr>
                <w:t>[88]</w:t>
              </w:r>
            </w:hyperlink>
            <w:r>
              <w:t>.</w:t>
            </w:r>
          </w:p>
        </w:tc>
      </w:tr>
      <w:tr w:rsidR="00DC237F" w14:paraId="05A311A9" w14:textId="77777777" w:rsidTr="00372647">
        <w:tc>
          <w:tcPr>
            <w:tcW w:w="0" w:type="auto"/>
          </w:tcPr>
          <w:p w14:paraId="20E60C29" w14:textId="77777777" w:rsidR="00DC237F" w:rsidRDefault="00DC237F" w:rsidP="00372647">
            <w:pPr>
              <w:pStyle w:val="Compact"/>
            </w:pPr>
            <w:r>
              <w:rPr>
                <w:b/>
                <w:bCs/>
              </w:rPr>
              <w:t>Deployment Speed</w:t>
            </w:r>
          </w:p>
        </w:tc>
        <w:tc>
          <w:tcPr>
            <w:tcW w:w="0" w:type="auto"/>
          </w:tcPr>
          <w:p w14:paraId="346D4D06" w14:textId="77777777" w:rsidR="00DC237F" w:rsidRDefault="00DC237F" w:rsidP="00372647">
            <w:pPr>
              <w:pStyle w:val="Compact"/>
            </w:pPr>
            <w:r>
              <w:t xml:space="preserve">✓ </w:t>
            </w:r>
            <w:r>
              <w:rPr>
                <w:b/>
                <w:bCs/>
              </w:rPr>
              <w:t>Fast deployment</w:t>
            </w:r>
            <w:r>
              <w:t xml:space="preserve"> – MVP in ~4 weeks, full POC in ~8–12 weeks. “Plug-and-play” appliance yields results in the first month</w:t>
            </w:r>
            <w:hyperlink r:id="rId129" w:anchor=":~:text=Deployment%20Speed">
              <w:r>
                <w:rPr>
                  <w:rStyle w:val="Hyperlink"/>
                </w:rPr>
                <w:t>[89]</w:t>
              </w:r>
            </w:hyperlink>
            <w:hyperlink r:id="rId130" w:anchor=":~:text=%E2%9C%85%20MVP%20in%204%20weeks,play%20appliance">
              <w:r>
                <w:rPr>
                  <w:rStyle w:val="Hyperlink"/>
                </w:rPr>
                <w:t>[90]</w:t>
              </w:r>
            </w:hyperlink>
            <w:r>
              <w:t>.</w:t>
            </w:r>
          </w:p>
        </w:tc>
        <w:tc>
          <w:tcPr>
            <w:tcW w:w="0" w:type="auto"/>
          </w:tcPr>
          <w:p w14:paraId="6030A7A2" w14:textId="77777777" w:rsidR="00DC237F" w:rsidRDefault="00DC237F" w:rsidP="00372647">
            <w:pPr>
              <w:pStyle w:val="Compact"/>
            </w:pPr>
            <w:r>
              <w:rPr>
                <w:b/>
                <w:bCs/>
              </w:rPr>
              <w:t>✗ Slower</w:t>
            </w:r>
            <w:r>
              <w:t xml:space="preserve"> – typically a few months (3–6 months) to onboard and configure for a new customer</w:t>
            </w:r>
            <w:hyperlink r:id="rId131" w:anchor=":~:text=%E2%9D%8C%20Typically%204%E2%80%936%20months%20to,especially%20if%20customizations%20needed">
              <w:r>
                <w:rPr>
                  <w:rStyle w:val="Hyperlink"/>
                </w:rPr>
                <w:t>[91]</w:t>
              </w:r>
            </w:hyperlink>
            <w:r>
              <w:t>.</w:t>
            </w:r>
          </w:p>
        </w:tc>
        <w:tc>
          <w:tcPr>
            <w:tcW w:w="0" w:type="auto"/>
          </w:tcPr>
          <w:p w14:paraId="459BE47E" w14:textId="77777777" w:rsidR="00DC237F" w:rsidRDefault="00DC237F" w:rsidP="00372647">
            <w:pPr>
              <w:pStyle w:val="Compact"/>
            </w:pPr>
            <w:r>
              <w:rPr>
                <w:b/>
                <w:bCs/>
              </w:rPr>
              <w:t>✗ Very slow</w:t>
            </w:r>
            <w:r>
              <w:t xml:space="preserve"> – enterprise implementations often 6–12+ months (design, integrate, test)</w:t>
            </w:r>
            <w:hyperlink r:id="rId132" w:anchor=":~:text=%E2%9D%8C%20Typically%204%E2%80%936%20months%20to,especially%20if%20customizations%20needed">
              <w:r>
                <w:rPr>
                  <w:rStyle w:val="Hyperlink"/>
                </w:rPr>
                <w:t>[91]</w:t>
              </w:r>
            </w:hyperlink>
            <w:hyperlink r:id="rId133" w:anchor=":~:text=especially%20if%20customizations%20needed">
              <w:r>
                <w:rPr>
                  <w:rStyle w:val="Hyperlink"/>
                </w:rPr>
                <w:t>[92]</w:t>
              </w:r>
            </w:hyperlink>
            <w:r>
              <w:t>.</w:t>
            </w:r>
          </w:p>
        </w:tc>
        <w:tc>
          <w:tcPr>
            <w:tcW w:w="0" w:type="auto"/>
          </w:tcPr>
          <w:p w14:paraId="08998C2B" w14:textId="77777777" w:rsidR="00DC237F" w:rsidRDefault="00DC237F" w:rsidP="00372647">
            <w:pPr>
              <w:pStyle w:val="Compact"/>
            </w:pPr>
            <w:r>
              <w:rPr>
                <w:b/>
                <w:bCs/>
              </w:rPr>
              <w:t>✗ Very slow</w:t>
            </w:r>
            <w:r>
              <w:t xml:space="preserve"> – e.g. 6–12 months for a full compliance cycle (assessment + remediation), and it repeats annually</w:t>
            </w:r>
            <w:hyperlink r:id="rId134" w:anchor=":~:text=especially%20if%20customizations%20needed">
              <w:r>
                <w:rPr>
                  <w:rStyle w:val="Hyperlink"/>
                </w:rPr>
                <w:t>[93]</w:t>
              </w:r>
            </w:hyperlink>
            <w:hyperlink r:id="rId135" w:anchor=":~:text=%E2%9D%8C%206%E2%80%9312%20months%20typical%20for,design%2C%20implement%2C%20integrate">
              <w:r>
                <w:rPr>
                  <w:rStyle w:val="Hyperlink"/>
                </w:rPr>
                <w:t>[94]</w:t>
              </w:r>
            </w:hyperlink>
            <w:r>
              <w:t>.</w:t>
            </w:r>
          </w:p>
        </w:tc>
      </w:tr>
      <w:tr w:rsidR="00DC237F" w14:paraId="688955D2" w14:textId="77777777" w:rsidTr="00372647">
        <w:tc>
          <w:tcPr>
            <w:tcW w:w="0" w:type="auto"/>
          </w:tcPr>
          <w:p w14:paraId="5BE9312C" w14:textId="77777777" w:rsidR="00DC237F" w:rsidRDefault="00DC237F" w:rsidP="00372647">
            <w:pPr>
              <w:pStyle w:val="Compact"/>
            </w:pPr>
            <w:r>
              <w:rPr>
                <w:b/>
                <w:bCs/>
              </w:rPr>
              <w:t>On-Premises Option</w:t>
            </w:r>
          </w:p>
        </w:tc>
        <w:tc>
          <w:tcPr>
            <w:tcW w:w="0" w:type="auto"/>
          </w:tcPr>
          <w:p w14:paraId="1C104858" w14:textId="77777777" w:rsidR="00DC237F" w:rsidRDefault="00DC237F" w:rsidP="00372647">
            <w:pPr>
              <w:pStyle w:val="Compact"/>
            </w:pPr>
            <w:r>
              <w:t xml:space="preserve">✓ </w:t>
            </w:r>
            <w:r>
              <w:rPr>
                <w:b/>
                <w:bCs/>
              </w:rPr>
              <w:t>Yes</w:t>
            </w:r>
            <w:r>
              <w:t xml:space="preserve"> – delivered as an on-prem appliance (can even run fully offline for air-gapped environments)</w:t>
            </w:r>
            <w:hyperlink r:id="rId136" w:anchor=":~:text=%E2%9C%85%20Yes%20%E2%80%93%20dedicated%20appliance,security%20environments">
              <w:r>
                <w:rPr>
                  <w:rStyle w:val="Hyperlink"/>
                </w:rPr>
                <w:t>[38]</w:t>
              </w:r>
            </w:hyperlink>
            <w:r>
              <w:t>. Meets data residency needs easily.</w:t>
            </w:r>
          </w:p>
        </w:tc>
        <w:tc>
          <w:tcPr>
            <w:tcW w:w="0" w:type="auto"/>
          </w:tcPr>
          <w:p w14:paraId="37B405E7" w14:textId="77777777" w:rsidR="00DC237F" w:rsidRDefault="00DC237F" w:rsidP="00372647">
            <w:pPr>
              <w:pStyle w:val="Compact"/>
            </w:pPr>
            <w:r>
              <w:rPr>
                <w:b/>
                <w:bCs/>
              </w:rPr>
              <w:t>✗ Generally SaaS/cloud</w:t>
            </w:r>
            <w:r>
              <w:t>; on-prem deployments uncommon or not offered (some might do private instance case-by-case)</w:t>
            </w:r>
            <w:hyperlink r:id="rId137" w:anchor=":~:text=%E2%9C%85%20Yes%20%E2%80%93%20dedicated%20appliance,security%20environments">
              <w:r>
                <w:rPr>
                  <w:rStyle w:val="Hyperlink"/>
                </w:rPr>
                <w:t>[38]</w:t>
              </w:r>
            </w:hyperlink>
            <w:hyperlink r:id="rId138" w:anchor=":~:text=%E2%9D%8C%20Generally%20SaaS%20or%20cloud,which%20they%20may%20not%20offer">
              <w:r>
                <w:rPr>
                  <w:rStyle w:val="Hyperlink"/>
                </w:rPr>
                <w:t>[95]</w:t>
              </w:r>
            </w:hyperlink>
            <w:r>
              <w:t>.</w:t>
            </w:r>
          </w:p>
        </w:tc>
        <w:tc>
          <w:tcPr>
            <w:tcW w:w="0" w:type="auto"/>
          </w:tcPr>
          <w:p w14:paraId="10532FA9" w14:textId="77777777" w:rsidR="00DC237F" w:rsidRDefault="00DC237F" w:rsidP="00372647">
            <w:pPr>
              <w:pStyle w:val="Compact"/>
            </w:pPr>
            <w:r>
              <w:t>⚠️ Usually can be self-hosted on-prem, but requires heavy infrastructure and IT management by client</w:t>
            </w:r>
            <w:hyperlink r:id="rId139" w:anchor=":~:text=%E2%9D%8C%20Generally%20SaaS%20or%20cloud,which%20they%20may%20not%20offer">
              <w:r>
                <w:rPr>
                  <w:rStyle w:val="Hyperlink"/>
                </w:rPr>
                <w:t>[95]</w:t>
              </w:r>
            </w:hyperlink>
            <w:r>
              <w:t xml:space="preserve">. </w:t>
            </w:r>
            <w:proofErr w:type="gramStart"/>
            <w:r>
              <w:t>Not</w:t>
            </w:r>
            <w:proofErr w:type="gramEnd"/>
            <w:r>
              <w:t xml:space="preserve"> trivial to set up privately.</w:t>
            </w:r>
          </w:p>
        </w:tc>
        <w:tc>
          <w:tcPr>
            <w:tcW w:w="0" w:type="auto"/>
          </w:tcPr>
          <w:p w14:paraId="62581779" w14:textId="77777777" w:rsidR="00DC237F" w:rsidRDefault="00DC237F" w:rsidP="00372647">
            <w:pPr>
              <w:pStyle w:val="Compact"/>
            </w:pPr>
            <w:r>
              <w:t xml:space="preserve">✓ Consultants can physically come on-site, </w:t>
            </w:r>
            <w:r>
              <w:rPr>
                <w:b/>
                <w:bCs/>
              </w:rPr>
              <w:t>but there is no “product” to deploy</w:t>
            </w:r>
            <w:r>
              <w:t xml:space="preserve"> – the outcome is reports, not a running system</w:t>
            </w:r>
            <w:hyperlink r:id="rId140" w:anchor=":~:text=heavy%20infrastructure%20footprint%20,managed%20by%20client%E2%80%99s%20IT">
              <w:r>
                <w:rPr>
                  <w:rStyle w:val="Hyperlink"/>
                </w:rPr>
                <w:t>[96]</w:t>
              </w:r>
            </w:hyperlink>
            <w:r>
              <w:t>.</w:t>
            </w:r>
          </w:p>
        </w:tc>
      </w:tr>
      <w:tr w:rsidR="00DC237F" w14:paraId="4DF6EA0D" w14:textId="77777777" w:rsidTr="00372647">
        <w:tc>
          <w:tcPr>
            <w:tcW w:w="0" w:type="auto"/>
          </w:tcPr>
          <w:p w14:paraId="77AE4376" w14:textId="77777777" w:rsidR="00DC237F" w:rsidRDefault="00DC237F" w:rsidP="00372647">
            <w:pPr>
              <w:pStyle w:val="Compact"/>
            </w:pPr>
            <w:r>
              <w:rPr>
                <w:b/>
                <w:bCs/>
              </w:rPr>
              <w:t xml:space="preserve">Integration &amp; </w:t>
            </w:r>
            <w:r>
              <w:rPr>
                <w:b/>
                <w:bCs/>
              </w:rPr>
              <w:lastRenderedPageBreak/>
              <w:t>Extensibility</w:t>
            </w:r>
          </w:p>
        </w:tc>
        <w:tc>
          <w:tcPr>
            <w:tcW w:w="0" w:type="auto"/>
          </w:tcPr>
          <w:p w14:paraId="735EEE77" w14:textId="77777777" w:rsidR="00DC237F" w:rsidRDefault="00DC237F" w:rsidP="00372647">
            <w:pPr>
              <w:pStyle w:val="Compact"/>
            </w:pPr>
            <w:r>
              <w:lastRenderedPageBreak/>
              <w:t xml:space="preserve">✓ </w:t>
            </w:r>
            <w:r>
              <w:rPr>
                <w:b/>
                <w:bCs/>
              </w:rPr>
              <w:t>Open REST APIs</w:t>
            </w:r>
            <w:r>
              <w:t xml:space="preserve"> – integrates with </w:t>
            </w:r>
            <w:r>
              <w:lastRenderedPageBreak/>
              <w:t xml:space="preserve">SIEMs (e.g. IBM </w:t>
            </w:r>
            <w:proofErr w:type="spellStart"/>
            <w:r>
              <w:t>QRadar</w:t>
            </w:r>
            <w:proofErr w:type="spellEnd"/>
            <w:r>
              <w:t>), ITSM systems, vulnerability scanners, etc. Designed to feed into or ingest from other tools</w:t>
            </w:r>
            <w:hyperlink r:id="rId141" w:anchor=":~:text=%E2%9C%85%20Open%20REST%20APIs%2C%20can,or%20receive%20data%20from%20scanners">
              <w:r>
                <w:rPr>
                  <w:rStyle w:val="Hyperlink"/>
                </w:rPr>
                <w:t>[97]</w:t>
              </w:r>
            </w:hyperlink>
            <w:r>
              <w:t>.</w:t>
            </w:r>
          </w:p>
        </w:tc>
        <w:tc>
          <w:tcPr>
            <w:tcW w:w="0" w:type="auto"/>
          </w:tcPr>
          <w:p w14:paraId="1BEF3AF3" w14:textId="77777777" w:rsidR="00DC237F" w:rsidRDefault="00DC237F" w:rsidP="00372647">
            <w:pPr>
              <w:pStyle w:val="Compact"/>
            </w:pPr>
            <w:r>
              <w:lastRenderedPageBreak/>
              <w:t xml:space="preserve">⚠️ Some offer APIs or basic </w:t>
            </w:r>
            <w:r>
              <w:lastRenderedPageBreak/>
              <w:t>integrations, but ecosystem is limited (smaller companies, less mature APIs)</w:t>
            </w:r>
            <w:hyperlink r:id="rId142" w:anchor=":~:text=%E2%9A%A0%EF%B8%8F%20Some%20offer%20APIs%20or,being%20smaller%20companies">
              <w:r>
                <w:rPr>
                  <w:rStyle w:val="Hyperlink"/>
                </w:rPr>
                <w:t>[98]</w:t>
              </w:r>
            </w:hyperlink>
            <w:r>
              <w:t>.</w:t>
            </w:r>
          </w:p>
        </w:tc>
        <w:tc>
          <w:tcPr>
            <w:tcW w:w="0" w:type="auto"/>
          </w:tcPr>
          <w:p w14:paraId="43B54F86" w14:textId="77777777" w:rsidR="00DC237F" w:rsidRDefault="00DC237F" w:rsidP="00372647">
            <w:pPr>
              <w:pStyle w:val="Compact"/>
            </w:pPr>
            <w:r>
              <w:lastRenderedPageBreak/>
              <w:t xml:space="preserve">✓ Strong integration capabilities (can </w:t>
            </w:r>
            <w:r>
              <w:lastRenderedPageBreak/>
              <w:t xml:space="preserve">tie into IAM, CMDB, etc.) given enterprise nature, </w:t>
            </w:r>
            <w:r>
              <w:rPr>
                <w:b/>
                <w:bCs/>
              </w:rPr>
              <w:t>but complex to configure</w:t>
            </w:r>
            <w:r>
              <w:t xml:space="preserve"> and may require extra licenses/modules</w:t>
            </w:r>
            <w:hyperlink r:id="rId143" w:anchor=":~:text=%E2%9C%85%20Strong%20integration%20capabilities%20,config%20and%20maybe%20additional%20licenses%2Fmodules">
              <w:r>
                <w:rPr>
                  <w:rStyle w:val="Hyperlink"/>
                </w:rPr>
                <w:t>[99]</w:t>
              </w:r>
            </w:hyperlink>
            <w:r>
              <w:t>.</w:t>
            </w:r>
          </w:p>
        </w:tc>
        <w:tc>
          <w:tcPr>
            <w:tcW w:w="0" w:type="auto"/>
          </w:tcPr>
          <w:p w14:paraId="1DB899F4" w14:textId="77777777" w:rsidR="00DC237F" w:rsidRDefault="00DC237F" w:rsidP="00372647">
            <w:pPr>
              <w:pStyle w:val="Compact"/>
            </w:pPr>
            <w:r>
              <w:rPr>
                <w:b/>
                <w:bCs/>
              </w:rPr>
              <w:lastRenderedPageBreak/>
              <w:t>✗ N/A</w:t>
            </w:r>
            <w:r>
              <w:t xml:space="preserve"> – integration is </w:t>
            </w:r>
            <w:r>
              <w:lastRenderedPageBreak/>
              <w:t>manual (consultants coordinate with your IT team, no automated data exchange)</w:t>
            </w:r>
            <w:hyperlink r:id="rId144" w:anchor=":~:text=licenses%2Fmodules%29">
              <w:r>
                <w:rPr>
                  <w:rStyle w:val="Hyperlink"/>
                </w:rPr>
                <w:t>[100]</w:t>
              </w:r>
            </w:hyperlink>
            <w:r>
              <w:t>.</w:t>
            </w:r>
          </w:p>
        </w:tc>
      </w:tr>
      <w:tr w:rsidR="00DC237F" w14:paraId="36411F07" w14:textId="77777777" w:rsidTr="00372647">
        <w:tc>
          <w:tcPr>
            <w:tcW w:w="0" w:type="auto"/>
          </w:tcPr>
          <w:p w14:paraId="147DC858" w14:textId="77777777" w:rsidR="00DC237F" w:rsidRDefault="00DC237F" w:rsidP="00372647">
            <w:pPr>
              <w:pStyle w:val="Compact"/>
            </w:pPr>
            <w:r>
              <w:rPr>
                <w:b/>
                <w:bCs/>
              </w:rPr>
              <w:lastRenderedPageBreak/>
              <w:t>Cost Model &amp; Efficiency</w:t>
            </w:r>
          </w:p>
        </w:tc>
        <w:tc>
          <w:tcPr>
            <w:tcW w:w="0" w:type="auto"/>
          </w:tcPr>
          <w:p w14:paraId="387BA6B8" w14:textId="77777777" w:rsidR="00DC237F" w:rsidRDefault="00DC237F" w:rsidP="00372647">
            <w:pPr>
              <w:pStyle w:val="Compact"/>
            </w:pPr>
            <w:r>
              <w:t xml:space="preserve">✓ </w:t>
            </w:r>
            <w:r>
              <w:rPr>
                <w:b/>
                <w:bCs/>
              </w:rPr>
              <w:t>Lower TCO</w:t>
            </w:r>
            <w:r>
              <w:t xml:space="preserve"> – appliance + subscription model. Reduces need for ongoing external consulting (costs don’t scale up with each new compliance project)</w:t>
            </w:r>
            <w:hyperlink r:id="rId145" w:anchor=":~:text=Cost%20Model%20%26%20Efficiency">
              <w:r>
                <w:rPr>
                  <w:rStyle w:val="Hyperlink"/>
                </w:rPr>
                <w:t>[79]</w:t>
              </w:r>
            </w:hyperlink>
            <w:r>
              <w:t>. Scaling to more frameworks or entities adds little marginal cost.</w:t>
            </w:r>
          </w:p>
        </w:tc>
        <w:tc>
          <w:tcPr>
            <w:tcW w:w="0" w:type="auto"/>
          </w:tcPr>
          <w:p w14:paraId="7AB7B702" w14:textId="77777777" w:rsidR="00DC237F" w:rsidRDefault="00DC237F" w:rsidP="00372647">
            <w:pPr>
              <w:pStyle w:val="Compact"/>
            </w:pPr>
            <w:r>
              <w:t xml:space="preserve">✓ Moderate subscription cost for SaaS, suitable for SMBs. </w:t>
            </w:r>
            <w:r>
              <w:rPr>
                <w:b/>
                <w:bCs/>
              </w:rPr>
              <w:t>✗ Can lack advanced features</w:t>
            </w:r>
            <w:r>
              <w:t>, and costs could rise if a lot of customization or support is needed</w:t>
            </w:r>
            <w:hyperlink r:id="rId146" w:anchor=":~:text=incremental%20cost">
              <w:r>
                <w:rPr>
                  <w:rStyle w:val="Hyperlink"/>
                </w:rPr>
                <w:t>[101]</w:t>
              </w:r>
            </w:hyperlink>
            <w:r>
              <w:t>.</w:t>
            </w:r>
          </w:p>
        </w:tc>
        <w:tc>
          <w:tcPr>
            <w:tcW w:w="0" w:type="auto"/>
          </w:tcPr>
          <w:p w14:paraId="74F4C395" w14:textId="77777777" w:rsidR="00DC237F" w:rsidRDefault="00DC237F" w:rsidP="00372647">
            <w:pPr>
              <w:pStyle w:val="Compact"/>
            </w:pPr>
            <w:r>
              <w:rPr>
                <w:b/>
                <w:bCs/>
              </w:rPr>
              <w:t>✗ High license costs</w:t>
            </w:r>
            <w:r>
              <w:t xml:space="preserve"> (enterprise pricing) + costly implementation services</w:t>
            </w:r>
            <w:hyperlink r:id="rId147" w:anchor=":~:text=%E2%9C%85%20Relatively%20affordable%20SaaS%20subscription%2C,can%20rise%20if%20many%20customizations%2Fusers">
              <w:r>
                <w:rPr>
                  <w:rStyle w:val="Hyperlink"/>
                </w:rPr>
                <w:t>[102]</w:t>
              </w:r>
            </w:hyperlink>
            <w:r>
              <w:t>. Best suited for large enterprises with big budgets; overkill for mid-size.</w:t>
            </w:r>
          </w:p>
        </w:tc>
        <w:tc>
          <w:tcPr>
            <w:tcW w:w="0" w:type="auto"/>
          </w:tcPr>
          <w:p w14:paraId="6D000EB5" w14:textId="77777777" w:rsidR="00DC237F" w:rsidRDefault="00DC237F" w:rsidP="00372647">
            <w:pPr>
              <w:pStyle w:val="Compact"/>
            </w:pPr>
            <w:r>
              <w:rPr>
                <w:b/>
                <w:bCs/>
              </w:rPr>
              <w:t>✗ Very high cost per engagement</w:t>
            </w:r>
            <w:r>
              <w:t xml:space="preserve"> – essentially paying for labor each time. </w:t>
            </w:r>
            <w:r>
              <w:rPr>
                <w:b/>
                <w:bCs/>
              </w:rPr>
              <w:t>No economies of scale</w:t>
            </w:r>
            <w:r>
              <w:t xml:space="preserve"> (do it again next year, pay again)</w:t>
            </w:r>
            <w:hyperlink r:id="rId148" w:anchor=":~:text=%E2%9D%8C%20High%20upfront%20license%20cost,large%20enterprises%20with%20big%20budgets">
              <w:r>
                <w:rPr>
                  <w:rStyle w:val="Hyperlink"/>
                </w:rPr>
                <w:t>[74]</w:t>
              </w:r>
            </w:hyperlink>
            <w:r>
              <w:t>. Over years, often the most expensive approach.</w:t>
            </w:r>
          </w:p>
        </w:tc>
      </w:tr>
      <w:tr w:rsidR="00DC237F" w14:paraId="61E9F0E3" w14:textId="77777777" w:rsidTr="00372647">
        <w:tc>
          <w:tcPr>
            <w:tcW w:w="0" w:type="auto"/>
          </w:tcPr>
          <w:p w14:paraId="7B503152" w14:textId="77777777" w:rsidR="00DC237F" w:rsidRDefault="00DC237F" w:rsidP="00372647">
            <w:pPr>
              <w:pStyle w:val="Compact"/>
            </w:pPr>
            <w:r>
              <w:rPr>
                <w:b/>
                <w:bCs/>
              </w:rPr>
              <w:t>Continuous Compliance</w:t>
            </w:r>
          </w:p>
        </w:tc>
        <w:tc>
          <w:tcPr>
            <w:tcW w:w="0" w:type="auto"/>
          </w:tcPr>
          <w:p w14:paraId="4E811890" w14:textId="77777777" w:rsidR="00DC237F" w:rsidRDefault="00DC237F" w:rsidP="00372647">
            <w:pPr>
              <w:pStyle w:val="Compact"/>
            </w:pPr>
            <w:r>
              <w:t xml:space="preserve">✓ </w:t>
            </w:r>
            <w:r>
              <w:rPr>
                <w:b/>
                <w:bCs/>
              </w:rPr>
              <w:t>Yes – continuous monitoring</w:t>
            </w:r>
            <w:r>
              <w:t>. Alerts on control drift or new gaps in real-time. Keeps you audit-ready year-round, not just at a point in time</w:t>
            </w:r>
            <w:hyperlink r:id="rId149" w:anchor=":~:text=Continuous%20Compliance">
              <w:r>
                <w:rPr>
                  <w:rStyle w:val="Hyperlink"/>
                </w:rPr>
                <w:t>[77]</w:t>
              </w:r>
            </w:hyperlink>
            <w:r>
              <w:t>.</w:t>
            </w:r>
          </w:p>
        </w:tc>
        <w:tc>
          <w:tcPr>
            <w:tcW w:w="0" w:type="auto"/>
          </w:tcPr>
          <w:p w14:paraId="49983D3B" w14:textId="77777777" w:rsidR="00DC237F" w:rsidRDefault="00DC237F" w:rsidP="00372647">
            <w:pPr>
              <w:pStyle w:val="Compact"/>
            </w:pPr>
            <w:r>
              <w:t xml:space="preserve">⚠️ Some provide live </w:t>
            </w:r>
            <w:proofErr w:type="gramStart"/>
            <w:r>
              <w:t>dashboards, but</w:t>
            </w:r>
            <w:proofErr w:type="gramEnd"/>
            <w:r>
              <w:t xml:space="preserve"> rely on manual updates from staff. </w:t>
            </w:r>
            <w:r>
              <w:rPr>
                <w:b/>
                <w:bCs/>
              </w:rPr>
              <w:t>Not truly real-time</w:t>
            </w:r>
            <w:r>
              <w:t xml:space="preserve"> evidence collection – more periodic unless someone updates it</w:t>
            </w:r>
            <w:hyperlink r:id="rId150" w:anchor=":~:text=%E2%9C%85%20Yes%20%E2%80%93%20continuous%20monitoring%3B,round">
              <w:r>
                <w:rPr>
                  <w:rStyle w:val="Hyperlink"/>
                </w:rPr>
                <w:t>[103]</w:t>
              </w:r>
            </w:hyperlink>
            <w:r>
              <w:t>.</w:t>
            </w:r>
          </w:p>
        </w:tc>
        <w:tc>
          <w:tcPr>
            <w:tcW w:w="0" w:type="auto"/>
          </w:tcPr>
          <w:p w14:paraId="7071D001" w14:textId="77777777" w:rsidR="00DC237F" w:rsidRDefault="00DC237F" w:rsidP="00372647">
            <w:pPr>
              <w:pStyle w:val="Compact"/>
            </w:pPr>
            <w:r>
              <w:t xml:space="preserve">⚠️ Possible if fully integrated (e.g. with live data feeds), but </w:t>
            </w:r>
            <w:r>
              <w:rPr>
                <w:b/>
                <w:bCs/>
              </w:rPr>
              <w:t>out-of-the-box they operate in periodic audit cycles</w:t>
            </w:r>
            <w:r>
              <w:t xml:space="preserve"> unless a lot of integrations are built</w:t>
            </w:r>
            <w:hyperlink r:id="rId151" w:anchor=":~:text=%E2%9A%A0%EF%B8%8F%20Some%20provide%20continuous%20dashboards%2C,time%20evidence%20gathering">
              <w:r>
                <w:rPr>
                  <w:rStyle w:val="Hyperlink"/>
                </w:rPr>
                <w:t>[104]</w:t>
              </w:r>
            </w:hyperlink>
            <w:r>
              <w:t>.</w:t>
            </w:r>
          </w:p>
        </w:tc>
        <w:tc>
          <w:tcPr>
            <w:tcW w:w="0" w:type="auto"/>
          </w:tcPr>
          <w:p w14:paraId="5945B2D1" w14:textId="77777777" w:rsidR="00DC237F" w:rsidRDefault="00DC237F" w:rsidP="00372647">
            <w:pPr>
              <w:pStyle w:val="Compact"/>
            </w:pPr>
            <w:r>
              <w:rPr>
                <w:b/>
                <w:bCs/>
              </w:rPr>
              <w:t>✗ Point-in-time</w:t>
            </w:r>
            <w:r>
              <w:t xml:space="preserve"> – compliance is only assured at the last assessment. Things may drift until the next consultant check</w:t>
            </w:r>
            <w:hyperlink r:id="rId152" w:anchor=":~:text=box%20they%E2%80%99re%20periodic%20unless%20a,of%20integrations%20are%20set%20up">
              <w:r>
                <w:rPr>
                  <w:rStyle w:val="Hyperlink"/>
                </w:rPr>
                <w:t>[105]</w:t>
              </w:r>
            </w:hyperlink>
            <w:r>
              <w:t>. No continuous oversight in between.</w:t>
            </w:r>
          </w:p>
        </w:tc>
      </w:tr>
    </w:tbl>
    <w:p w14:paraId="66CB230F" w14:textId="078D21C8" w:rsidR="00DC237F" w:rsidRDefault="00DC237F" w:rsidP="00DC237F">
      <w:pPr>
        <w:pStyle w:val="BodyText"/>
      </w:pPr>
      <w:r>
        <w:rPr>
          <w:i/>
          <w:iCs/>
        </w:rPr>
        <w:lastRenderedPageBreak/>
        <w:t>Table: Comparison of Doğan AI Lab with local GRC software, global GRC platforms, and consulting services on key criteria.</w:t>
      </w:r>
      <w:r>
        <w:t xml:space="preserve"> </w:t>
      </w:r>
    </w:p>
    <w:p w14:paraId="1A0CD430" w14:textId="77777777" w:rsidR="00DC237F" w:rsidRDefault="00DC237F" w:rsidP="00DC237F">
      <w:pPr>
        <w:pStyle w:val="BodyText"/>
      </w:pPr>
      <w:r>
        <w:t xml:space="preserve">As seen above, </w:t>
      </w:r>
      <w:r>
        <w:rPr>
          <w:b/>
          <w:bCs/>
        </w:rPr>
        <w:t>Doğan AI Lab blends the strengths of multiple worlds</w:t>
      </w:r>
      <w:r>
        <w:t xml:space="preserve"> – the local knowledge and agility of Saudi startups, plus some robust features of global platforms, all delivered in a cost-effective and rapid model that undercuts the traditional consulting approach. This unique positioning gives us a competitive edge, especially for clients who want a </w:t>
      </w:r>
      <w:r>
        <w:rPr>
          <w:b/>
          <w:bCs/>
        </w:rPr>
        <w:t>no-nonsense, immediate solution to Saudi compliance</w:t>
      </w:r>
      <w:r>
        <w:t xml:space="preserve"> rather than a lengthy project.</w:t>
      </w:r>
    </w:p>
    <w:p w14:paraId="7934F1D4" w14:textId="77777777" w:rsidR="00DC237F" w:rsidRDefault="00DC237F" w:rsidP="00DC237F">
      <w:pPr>
        <w:pStyle w:val="Heading2"/>
      </w:pPr>
      <w:bookmarkStart w:id="9" w:name="strategic-relevance"/>
      <w:bookmarkEnd w:id="8"/>
      <w:r>
        <w:t>Strategic Relevance</w:t>
      </w:r>
    </w:p>
    <w:p w14:paraId="7F2E3B49" w14:textId="77777777" w:rsidR="00DC237F" w:rsidRDefault="00DC237F" w:rsidP="00DC237F">
      <w:pPr>
        <w:pStyle w:val="FirstParagraph"/>
      </w:pPr>
      <w:r>
        <w:t>Doğan AI Lab is not just a standalone product; it is strategically designed to plug into the broader technology ecosystem. By aligning with major industry players and national initiatives, the platform can amplify its impact and value. Key areas of strategic relevance include:</w:t>
      </w:r>
    </w:p>
    <w:p w14:paraId="2BA567AA" w14:textId="77777777" w:rsidR="00DC237F" w:rsidRDefault="00DC237F" w:rsidP="00DC237F">
      <w:pPr>
        <w:numPr>
          <w:ilvl w:val="0"/>
          <w:numId w:val="2"/>
        </w:numPr>
      </w:pPr>
      <w:r>
        <w:rPr>
          <w:b/>
          <w:bCs/>
        </w:rPr>
        <w:t>Partnerships with Global Tech Leaders:</w:t>
      </w:r>
      <w:r>
        <w:t xml:space="preserve"> The platform can be </w:t>
      </w:r>
      <w:r>
        <w:rPr>
          <w:b/>
          <w:bCs/>
        </w:rPr>
        <w:t>embedded into offerings from companies like IBM and Microsoft</w:t>
      </w:r>
      <w:r>
        <w:t xml:space="preserve"> to enhance their value proposition in Saudi Arabia. For example, IBM’s GRC suite (OpenPages) and security products (</w:t>
      </w:r>
      <w:proofErr w:type="spellStart"/>
      <w:r>
        <w:t>QRadar</w:t>
      </w:r>
      <w:proofErr w:type="spellEnd"/>
      <w:r>
        <w:t xml:space="preserve"> SIEM) are widely used, but they lack local Saudi compliance content. By partnering or integrating, </w:t>
      </w:r>
      <w:r>
        <w:rPr>
          <w:b/>
          <w:bCs/>
        </w:rPr>
        <w:t>IBM could bundle Doğan AI Lab as a “Saudi compliance accelerator”</w:t>
      </w:r>
      <w:r>
        <w:t>, instantly adding NCA/SAMA checks and Arabic reporting to their solutions</w:t>
      </w:r>
      <w:hyperlink r:id="rId153" w:anchor=":~:text=Instant%20Saudi%20Framework%20Support%3A%20IBM,%E2%80%9D">
        <w:r>
          <w:rPr>
            <w:rStyle w:val="Hyperlink"/>
          </w:rPr>
          <w:t>[107]</w:t>
        </w:r>
      </w:hyperlink>
      <w:hyperlink r:id="rId154" w:anchor=":~:text=could%20bundle%20Do%C4%9Fan%20AI%20Lab,%E2%80%9D">
        <w:r>
          <w:rPr>
            <w:rStyle w:val="Hyperlink"/>
          </w:rPr>
          <w:t>[108]</w:t>
        </w:r>
      </w:hyperlink>
      <w:r>
        <w:t>. This would help IBM answer RFP requirements about local compliance support and shorten their project delivery times (they could deploy our appliance alongside their software to show quick wins in 2-3 months instead of 6+ months)</w:t>
      </w:r>
      <w:hyperlink r:id="rId155" w:anchor=":~:text=for%20that">
        <w:r>
          <w:rPr>
            <w:rStyle w:val="Hyperlink"/>
          </w:rPr>
          <w:t>[109]</w:t>
        </w:r>
      </w:hyperlink>
      <w:r>
        <w:t xml:space="preserve">. Similarly for Microsoft – their </w:t>
      </w:r>
      <w:r>
        <w:rPr>
          <w:b/>
          <w:bCs/>
        </w:rPr>
        <w:t>Purview</w:t>
      </w:r>
      <w:r>
        <w:t xml:space="preserve"> compliance manager and </w:t>
      </w:r>
      <w:r>
        <w:rPr>
          <w:b/>
          <w:bCs/>
        </w:rPr>
        <w:t>Defender</w:t>
      </w:r>
      <w:r>
        <w:t xml:space="preserve"> security suite could leverage our APIs to cover Saudi frameworks. For instance, Microsoft Purview provides regulatory compliance templates; through integration, Purview could automatically import our control checks for PDPL or NCA, giving Azure cloud customers a clear view of Saudi compliance in their Purview dashboard. Microsoft’s cloud data centers in KSA attract customers who will ask about PDPL compliance – Doğan AI Lab can be the module that answers that need. These partnerships benefit the big tech firms by making their offerings more locally relevant (helping them win deals), while for us </w:t>
      </w:r>
      <w:proofErr w:type="gramStart"/>
      <w:r>
        <w:t>it provides</w:t>
      </w:r>
      <w:proofErr w:type="gramEnd"/>
      <w:r>
        <w:t xml:space="preserve"> a distribution channel and credibility by association.</w:t>
      </w:r>
    </w:p>
    <w:p w14:paraId="0386C040" w14:textId="77777777" w:rsidR="00DC237F" w:rsidRDefault="00DC237F" w:rsidP="00DC237F">
      <w:pPr>
        <w:numPr>
          <w:ilvl w:val="0"/>
          <w:numId w:val="2"/>
        </w:numPr>
      </w:pPr>
      <w:r>
        <w:rPr>
          <w:b/>
          <w:bCs/>
        </w:rPr>
        <w:t>Integration with Local Cloud &amp; Service Providers:</w:t>
      </w:r>
      <w:r>
        <w:t xml:space="preserve"> Saudi entities like </w:t>
      </w:r>
      <w:r>
        <w:rPr>
          <w:b/>
          <w:bCs/>
        </w:rPr>
        <w:t>STC (Saudi Telecom Company) and Aramco Digital</w:t>
      </w:r>
      <w:r>
        <w:t xml:space="preserve"> are pushing into the tech space with cloud services and managed solutions. STC’s cloud, for example, is positioning itself as a national cloud champion (for government and enterprise hosting), and Aramco Digital is tasked with digital solutions for industry. Doğan AI Lab can be offered as a </w:t>
      </w:r>
      <w:r>
        <w:rPr>
          <w:b/>
          <w:bCs/>
        </w:rPr>
        <w:t>value-added service on such platforms</w:t>
      </w:r>
      <w:r>
        <w:t xml:space="preserve"> – e.g. STC could offer “Compliance-as-a-Service” to its cloud tenants by hosting Doğan AI Lab appliances in a managed way. STC’s cybersecurity arm could integrate our compliance engine with their SOC </w:t>
      </w:r>
      <w:r>
        <w:lastRenderedPageBreak/>
        <w:t xml:space="preserve">services to provide clients with continuous compliance monitoring along with threat monitoring. </w:t>
      </w:r>
      <w:r>
        <w:rPr>
          <w:b/>
          <w:bCs/>
        </w:rPr>
        <w:t>Aramco Digital</w:t>
      </w:r>
      <w:r>
        <w:t xml:space="preserve">, which works on digitizing industrial sectors, could use our platform to ensure that solutions they implement for refineries or utilities come with built-in compliance to national standards (like NCA’s oil &amp; gas cybersecurity guidelines). By embedding with these local giants, Doğan AI Lab can become part of the country’s digital infrastructure fabric. Notably, </w:t>
      </w:r>
      <w:r>
        <w:rPr>
          <w:b/>
          <w:bCs/>
        </w:rPr>
        <w:t>SBM (Saudi Business Machines)</w:t>
      </w:r>
      <w:r>
        <w:t xml:space="preserve"> – IBM’s Saudi partner – and other system integrators can also include our solution in their projects as the compliance component, leveraging our local startup agility with their delivery capacity</w:t>
      </w:r>
      <w:hyperlink r:id="rId156" w:anchor=":~:text=Local%20Players%20and%20Integrators%20%E2%80%93,that%20offer%20services%20to%20enterprises">
        <w:r>
          <w:rPr>
            <w:rStyle w:val="Hyperlink"/>
          </w:rPr>
          <w:t>[110]</w:t>
        </w:r>
      </w:hyperlink>
      <w:hyperlink r:id="rId157" w:anchor=":~:text=Aramco%20Digital%2C%20and%20telecom%20companies,that%20offer%20services%20to%20enterprises">
        <w:r>
          <w:rPr>
            <w:rStyle w:val="Hyperlink"/>
          </w:rPr>
          <w:t>[111]</w:t>
        </w:r>
      </w:hyperlink>
      <w:r>
        <w:t>.</w:t>
      </w:r>
    </w:p>
    <w:p w14:paraId="638A0268" w14:textId="77777777" w:rsidR="00DC237F" w:rsidRDefault="00DC237F" w:rsidP="00DC237F">
      <w:pPr>
        <w:numPr>
          <w:ilvl w:val="0"/>
          <w:numId w:val="2"/>
        </w:numPr>
      </w:pPr>
      <w:r>
        <w:rPr>
          <w:b/>
          <w:bCs/>
        </w:rPr>
        <w:t>National &amp; Sectoral Initiatives:</w:t>
      </w:r>
      <w:r>
        <w:t xml:space="preserve"> The platform aligns with and can support various Vision 2030 initiatives. For instance, the Saudi government’s push for </w:t>
      </w:r>
      <w:r>
        <w:rPr>
          <w:b/>
          <w:bCs/>
        </w:rPr>
        <w:t>smart cities and e-government</w:t>
      </w:r>
      <w:r>
        <w:t xml:space="preserve"> means lots of new systems being deployed – Doğan AI Lab can be used across ministries and smart city authorities to enforce consistent cybersecurity controls and privacy practices. We envision, for example, a </w:t>
      </w:r>
      <w:r>
        <w:rPr>
          <w:b/>
          <w:bCs/>
        </w:rPr>
        <w:t>“Ministry Compliance Dashboard”</w:t>
      </w:r>
      <w:r>
        <w:t xml:space="preserve"> where a central authority could see all agencies’ compliance status if each deployed our appliance. This speaks to internal adoption: a government could standardize on Doğan AI Lab across all ministries to ensure a baseline of NCA and PDPL compliance in every agency, with centralized oversight (much more efficient than each ministry hiring separate consultants). In regulated sectors like banking, the platform could be adopted as an </w:t>
      </w:r>
      <w:r>
        <w:rPr>
          <w:b/>
          <w:bCs/>
        </w:rPr>
        <w:t>internal compliance tool by multiple banks</w:t>
      </w:r>
      <w:r>
        <w:t xml:space="preserve"> under guidance from SAMA – if SAMA sees that banks using automated platforms improve their audit outcomes, they might encourage or mandate such tools. The </w:t>
      </w:r>
      <w:r>
        <w:rPr>
          <w:b/>
          <w:bCs/>
        </w:rPr>
        <w:t>telecom sector</w:t>
      </w:r>
      <w:r>
        <w:t xml:space="preserve"> could similarly benefit – CST could facilitate telcos adopting the platform to continuously meet telecom cyber regulations. We also foresee relevance to Saudi’s ambition to be a regional tech and AI hub: by using a homegrown AI-powered compliance tool, organizations demonstrate alignment with the nation’s digital sovereignty goals.</w:t>
      </w:r>
    </w:p>
    <w:p w14:paraId="408B4199" w14:textId="77777777" w:rsidR="00DC237F" w:rsidRDefault="00DC237F" w:rsidP="00DC237F">
      <w:pPr>
        <w:numPr>
          <w:ilvl w:val="0"/>
          <w:numId w:val="2"/>
        </w:numPr>
      </w:pPr>
      <w:r>
        <w:rPr>
          <w:b/>
          <w:bCs/>
        </w:rPr>
        <w:t>Embedding in Managed Security Services:</w:t>
      </w:r>
      <w:r>
        <w:t xml:space="preserve"> Large enterprises and government entities in KSA are increasingly contracting </w:t>
      </w:r>
      <w:r>
        <w:rPr>
          <w:b/>
          <w:bCs/>
        </w:rPr>
        <w:t>Managed Security Service Providers (MSSPs)</w:t>
      </w:r>
      <w:r>
        <w:t xml:space="preserve"> (like solutions by STC, or Deloitte managed services, etc.) to handle cybersecurity operations. Doğan AI Lab can complement MSSP offerings by covering the GRC aspect. An MSSP could integrate our compliance alerts and reports into their SOC portals, thus giving CISOs a one-stop view. The fact that our platform has open REST APIs and is built API-first facilitates such integration</w:t>
      </w:r>
      <w:hyperlink r:id="rId158" w:anchor=":~:text=%E2%9C%85%20Open%20REST%20APIs%2C%20can,or%20receive%20data%20from%20scanners">
        <w:r>
          <w:rPr>
            <w:rStyle w:val="Hyperlink"/>
          </w:rPr>
          <w:t>[97]</w:t>
        </w:r>
      </w:hyperlink>
      <w:r>
        <w:t xml:space="preserve">. For example, an MSSP running </w:t>
      </w:r>
      <w:proofErr w:type="spellStart"/>
      <w:r>
        <w:t>QRadar</w:t>
      </w:r>
      <w:proofErr w:type="spellEnd"/>
      <w:r>
        <w:t xml:space="preserve"> for SIEM could take our compliance findings (which might indicate a misconfiguration risk) and correlate them with threat alerts, providing a more holistic security posture insight for the client. This fusion of compliance and security operations is strategically valuable because regulators (like NCA) are increasingly looking at </w:t>
      </w:r>
      <w:r>
        <w:rPr>
          <w:b/>
          <w:bCs/>
        </w:rPr>
        <w:t>cyber resilience</w:t>
      </w:r>
      <w:r>
        <w:t xml:space="preserve"> which merges real-time security with compliance readiness.</w:t>
      </w:r>
    </w:p>
    <w:p w14:paraId="3960610D" w14:textId="77777777" w:rsidR="00DC237F" w:rsidRDefault="00DC237F" w:rsidP="00DC237F">
      <w:pPr>
        <w:numPr>
          <w:ilvl w:val="0"/>
          <w:numId w:val="2"/>
        </w:numPr>
      </w:pPr>
      <w:r>
        <w:rPr>
          <w:b/>
          <w:bCs/>
        </w:rPr>
        <w:t>Major Partner Embedding – Case in Point (IBM):</w:t>
      </w:r>
      <w:r>
        <w:t xml:space="preserve"> To illustrate strategic partnering, consider IBM itself. IBM has a strong presence in sectors like banking and </w:t>
      </w:r>
      <w:r>
        <w:lastRenderedPageBreak/>
        <w:t xml:space="preserve">government in Saudi, but as noted, their solutions need localization. By partnering with Doğan AI Lab, IBM can </w:t>
      </w:r>
      <w:r>
        <w:rPr>
          <w:b/>
          <w:bCs/>
        </w:rPr>
        <w:t>win deals faster and with less effort</w:t>
      </w:r>
      <w:r>
        <w:t>. We would effectively give IBM a differentiator: while competitors might propose lengthy consulting for NCA compliance, IBM can say “we have a module (via Doğan AI Lab) that makes us Saudi-ready from day one.”</w:t>
      </w:r>
      <w:hyperlink r:id="rId159" w:anchor=":~:text=Instant%20Saudi%20Framework%20Support%3A%20IBM,%E2%80%9D">
        <w:r>
          <w:rPr>
            <w:rStyle w:val="Hyperlink"/>
          </w:rPr>
          <w:t>[107]</w:t>
        </w:r>
      </w:hyperlink>
      <w:hyperlink r:id="rId160" w:anchor=":~:text=could%20bundle%20Do%C4%9Fan%20AI%20Lab,%E2%80%9D">
        <w:r>
          <w:rPr>
            <w:rStyle w:val="Hyperlink"/>
          </w:rPr>
          <w:t>[108]</w:t>
        </w:r>
      </w:hyperlink>
      <w:r>
        <w:t xml:space="preserve"> This can tilt RFPs in their favor. It also allows IBM to go after mid-tier clients that previously found IBM’s offerings too heavy – with our “lightweight” appliance, they can sell to a mid-size bank as a quick solution</w:t>
      </w:r>
      <w:hyperlink r:id="rId161" w:anchor=":~:text=They%20get%20a%20differentiator%20against,accelerator%2C%20a%20combination%20others%20lack">
        <w:r>
          <w:rPr>
            <w:rStyle w:val="Hyperlink"/>
          </w:rPr>
          <w:t>[112]</w:t>
        </w:r>
      </w:hyperlink>
      <w:r>
        <w:t xml:space="preserve">. In return, Doğan AI Lab gains accelerated market penetration and IBM’s endorsement. Similar logic applies to other global players: </w:t>
      </w:r>
      <w:r>
        <w:rPr>
          <w:b/>
          <w:bCs/>
        </w:rPr>
        <w:t>Oracle</w:t>
      </w:r>
      <w:r>
        <w:t xml:space="preserve"> could integrate us for Saudi banking solutions, </w:t>
      </w:r>
      <w:r>
        <w:rPr>
          <w:b/>
          <w:bCs/>
        </w:rPr>
        <w:t>SAP</w:t>
      </w:r>
      <w:r>
        <w:t xml:space="preserve"> could use us to assure compliance in their SAP GRC deployments for local customers, etc. In essence, Doğan AI Lab can be the </w:t>
      </w:r>
      <w:r>
        <w:rPr>
          <w:b/>
          <w:bCs/>
        </w:rPr>
        <w:t>“Intel Inside”</w:t>
      </w:r>
      <w:r>
        <w:t xml:space="preserve"> for compliance in Saudi – an embedded component that many solutions use under the hood to meet local needs.</w:t>
      </w:r>
    </w:p>
    <w:p w14:paraId="4177FABA" w14:textId="77777777" w:rsidR="00DC237F" w:rsidRDefault="00DC237F" w:rsidP="00DC237F">
      <w:pPr>
        <w:numPr>
          <w:ilvl w:val="0"/>
          <w:numId w:val="2"/>
        </w:numPr>
      </w:pPr>
      <w:r>
        <w:rPr>
          <w:b/>
          <w:bCs/>
        </w:rPr>
        <w:t>Local Ecosystem Support:</w:t>
      </w:r>
      <w:r>
        <w:t xml:space="preserve"> Our solution also carries strategic significance for Saudi’s goal of tech self-sufficiency. By adopting a locally developed platform, enterprises and agencies support the local tech ecosystem and </w:t>
      </w:r>
      <w:r>
        <w:rPr>
          <w:b/>
          <w:bCs/>
        </w:rPr>
        <w:t>comply with local content requirements</w:t>
      </w:r>
      <w:r>
        <w:t xml:space="preserve"> (which sometimes favor local products). Partners like IBM or Microsoft teaming up with a Saudi startup showcases knowledge transfer and investment in local capacity</w:t>
      </w:r>
      <w:hyperlink r:id="rId162" w:anchor=":~:text=Local%20Trust%20%26%20Support%3A%20By,claim%20a%20global%20%2B%20local">
        <w:r>
          <w:rPr>
            <w:rStyle w:val="Hyperlink"/>
          </w:rPr>
          <w:t>[113]</w:t>
        </w:r>
      </w:hyperlink>
      <w:r>
        <w:t>. This narrative can appeal to Saudi regulators and customers who prefer solutions that contribute to Vision 2030’s localization metrics. Additionally, success in Saudi can springboard the solution to other GCC countries that have similar compliance regimes (e.g. NESA in UAE is analogous to NCA)</w:t>
      </w:r>
      <w:hyperlink r:id="rId163" w:anchor=":~:text=From%20a%20technical%20standpoint%2C%20if,upside%20beyond%20just%20one%20project">
        <w:r>
          <w:rPr>
            <w:rStyle w:val="Hyperlink"/>
          </w:rPr>
          <w:t>[114]</w:t>
        </w:r>
      </w:hyperlink>
      <w:r>
        <w:t>, meaning strategic partners could take us regionally – aligning with Saudi’s vision of being an exporter of tech.</w:t>
      </w:r>
    </w:p>
    <w:p w14:paraId="32DA8498" w14:textId="77777777" w:rsidR="00DC237F" w:rsidRDefault="00DC237F" w:rsidP="00DC237F">
      <w:pPr>
        <w:pStyle w:val="FirstParagraph"/>
      </w:pPr>
      <w:r>
        <w:t xml:space="preserve">In summary, Doğan AI Lab is strategically positioned to be a </w:t>
      </w:r>
      <w:r>
        <w:rPr>
          <w:b/>
          <w:bCs/>
        </w:rPr>
        <w:t>bridge between global technology and Saudi-specific requirements</w:t>
      </w:r>
      <w:r>
        <w:t>. Whether it’s through formal partnerships with giants like IBM and Microsoft, integrations with local cloud and telecom providers, or broad adoption across government, the platform amplifies its value by meshing with the existing ecosystem. This not only accelerates our go-to-market but ultimately contributes to elevating Saudi Arabia’s compliance posture nationally – a win-win for all stakeholders.</w:t>
      </w:r>
    </w:p>
    <w:bookmarkEnd w:id="9"/>
    <w:bookmarkEnd w:id="1"/>
    <w:bookmarkEnd w:id="2"/>
    <w:p w14:paraId="4A55BF82" w14:textId="77777777" w:rsidR="00DC237F" w:rsidRDefault="00DC237F" w:rsidP="00DC237F">
      <w:r>
        <w:pict w14:anchorId="15B14821">
          <v:rect id="_x0000_i1025" style="width:0;height:1.5pt" o:hralign="center" o:hrstd="t" o:hr="t"/>
        </w:pict>
      </w:r>
    </w:p>
    <w:bookmarkStart w:id="10" w:name="citations"/>
    <w:p w14:paraId="56A0B165" w14:textId="77777777" w:rsidR="00DC237F" w:rsidRDefault="00DC237F" w:rsidP="00DC237F">
      <w:pPr>
        <w:pStyle w:val="BodyText"/>
      </w:pPr>
      <w:r>
        <w:fldChar w:fldCharType="begin"/>
      </w:r>
      <w:r>
        <w:instrText>HYPERLINK "file://file-5gh5LKH5NZTPngpnMXdn1k" \h</w:instrText>
      </w:r>
      <w:r>
        <w:fldChar w:fldCharType="separate"/>
      </w:r>
      <w:r>
        <w:rPr>
          <w:rStyle w:val="Hyperlink"/>
        </w:rPr>
        <w:t>file://file-5gh5LKH5NZTPngpnMXdn1k</w:t>
      </w:r>
      <w:r>
        <w:fldChar w:fldCharType="end"/>
      </w:r>
    </w:p>
    <w:p w14:paraId="6DC2615B" w14:textId="77777777" w:rsidR="00DC237F" w:rsidRDefault="00DC237F" w:rsidP="00DC237F">
      <w:pPr>
        <w:pStyle w:val="BodyText"/>
      </w:pPr>
      <w:hyperlink r:id="rId164" w:anchor=":~:text=,and%20compliance%20platform%20market%20share">
        <w:r>
          <w:rPr>
            <w:rStyle w:val="Hyperlink"/>
          </w:rPr>
          <w:t>[2]</w:t>
        </w:r>
      </w:hyperlink>
      <w:r>
        <w:t xml:space="preserve"> </w:t>
      </w:r>
      <w:hyperlink r:id="rId165" w:anchor=":~:text=technologies%20is%20significantly%20supporting%20the,known%20companies">
        <w:r>
          <w:rPr>
            <w:rStyle w:val="Hyperlink"/>
          </w:rPr>
          <w:t>[25]</w:t>
        </w:r>
      </w:hyperlink>
      <w:r>
        <w:t xml:space="preserve"> </w:t>
      </w:r>
      <w:hyperlink r:id="rId166" w:anchor=":~:text=reach%20USD%201%2C234,and%20compliance%20platform%20market%20share">
        <w:r>
          <w:rPr>
            <w:rStyle w:val="Hyperlink"/>
          </w:rPr>
          <w:t>[26]</w:t>
        </w:r>
      </w:hyperlink>
      <w:r>
        <w:t xml:space="preserve"> Saudi Arabia Governance, Risk and Compliance Platform Market Size 2033 </w:t>
      </w:r>
    </w:p>
    <w:p w14:paraId="551DCEF4" w14:textId="77777777" w:rsidR="00DC237F" w:rsidRDefault="00DC237F" w:rsidP="00DC237F">
      <w:pPr>
        <w:pStyle w:val="BodyText"/>
      </w:pPr>
      <w:hyperlink r:id="rId167">
        <w:r>
          <w:rPr>
            <w:rStyle w:val="Hyperlink"/>
          </w:rPr>
          <w:t>https://www.imarcgroup.com/saudi-arabia-governance-risk-compliance-platform-market</w:t>
        </w:r>
      </w:hyperlink>
    </w:p>
    <w:p w14:paraId="739939E2" w14:textId="77777777" w:rsidR="00DC237F" w:rsidRDefault="00DC237F" w:rsidP="00DC237F">
      <w:pPr>
        <w:pStyle w:val="BodyText"/>
      </w:pPr>
      <w:hyperlink r:id="rId168" w:anchor=":~:text=Failure%20to%20Meet%20Data%20Encryption,risk%20errors%20in%20data%20handling">
        <w:r>
          <w:rPr>
            <w:rStyle w:val="Hyperlink"/>
          </w:rPr>
          <w:t>[3]</w:t>
        </w:r>
      </w:hyperlink>
      <w:r>
        <w:t xml:space="preserve"> Data Protection Compliance in Saudi Arabia: Why Custom Compliance Reports Are Essential | Microminder Cyber Security</w:t>
      </w:r>
    </w:p>
    <w:p w14:paraId="584E8BBC" w14:textId="77777777" w:rsidR="00DC237F" w:rsidRDefault="00DC237F" w:rsidP="00DC237F">
      <w:pPr>
        <w:pStyle w:val="BodyText"/>
      </w:pPr>
      <w:hyperlink r:id="rId169">
        <w:r>
          <w:rPr>
            <w:rStyle w:val="Hyperlink"/>
          </w:rPr>
          <w:t>https://www.micromindercs.com/blog/data-protection-compliance-in-saudi-arabia</w:t>
        </w:r>
      </w:hyperlink>
    </w:p>
    <w:p w14:paraId="58539638" w14:textId="77777777" w:rsidR="00DC237F" w:rsidRDefault="00DC237F" w:rsidP="00DC237F">
      <w:pPr>
        <w:pStyle w:val="BodyText"/>
      </w:pPr>
      <w:hyperlink r:id="rId170" w:anchor=":~:text=Stakeholders%20Hub%20,solutions%20cannot%20solve%3B%20Exceptional">
        <w:r>
          <w:rPr>
            <w:rStyle w:val="Hyperlink"/>
          </w:rPr>
          <w:t>[4]</w:t>
        </w:r>
      </w:hyperlink>
      <w:r>
        <w:t xml:space="preserve"> Stakeholders Hub - Mizan GRC</w:t>
      </w:r>
    </w:p>
    <w:p w14:paraId="19B6C3E7" w14:textId="77777777" w:rsidR="00DC237F" w:rsidRDefault="00DC237F" w:rsidP="00DC237F">
      <w:pPr>
        <w:pStyle w:val="BodyText"/>
      </w:pPr>
      <w:hyperlink r:id="rId171">
        <w:r>
          <w:rPr>
            <w:rStyle w:val="Hyperlink"/>
          </w:rPr>
          <w:t>https://mizangrc.com/stakeholders-hub/</w:t>
        </w:r>
      </w:hyperlink>
    </w:p>
    <w:p w14:paraId="13863B6E" w14:textId="77777777" w:rsidR="00DC237F" w:rsidRDefault="00DC237F" w:rsidP="00DC237F">
      <w:pPr>
        <w:pStyle w:val="BodyText"/>
      </w:pPr>
      <w:hyperlink r:id="rId172" w:anchor=":~:text=This%20major%20Middle%20East%20bank,critical%20risk%20and%20compliance%20gaps">
        <w:r>
          <w:rPr>
            <w:rStyle w:val="Hyperlink"/>
          </w:rPr>
          <w:t>[28]</w:t>
        </w:r>
      </w:hyperlink>
      <w:r>
        <w:t xml:space="preserve"> Archer GRC Platform Improved Business Decisions </w:t>
      </w:r>
      <w:proofErr w:type="gramStart"/>
      <w:r>
        <w:t>For</w:t>
      </w:r>
      <w:proofErr w:type="gramEnd"/>
      <w:r>
        <w:t xml:space="preserve"> Middle East Bank</w:t>
      </w:r>
    </w:p>
    <w:p w14:paraId="1FA29B84" w14:textId="77777777" w:rsidR="00DC237F" w:rsidRDefault="00DC237F" w:rsidP="00DC237F">
      <w:pPr>
        <w:pStyle w:val="BodyText"/>
      </w:pPr>
      <w:hyperlink r:id="rId173">
        <w:r>
          <w:rPr>
            <w:rStyle w:val="Hyperlink"/>
          </w:rPr>
          <w:t>https://paramountassure.com/ext-case-studies/how-the-archer-grc-platform-helped-a-middle-east-bank-take-better-business-desisions/</w:t>
        </w:r>
      </w:hyperlink>
    </w:p>
    <w:p w14:paraId="3C34E567" w14:textId="77777777" w:rsidR="00DC237F" w:rsidRDefault="00DC237F" w:rsidP="00DC237F">
      <w:pPr>
        <w:pStyle w:val="BodyText"/>
      </w:pPr>
      <w:hyperlink r:id="rId174">
        <w:r>
          <w:rPr>
            <w:rStyle w:val="Hyperlink"/>
          </w:rPr>
          <w:t>[30]</w:t>
        </w:r>
      </w:hyperlink>
      <w:r>
        <w:t xml:space="preserve"> </w:t>
      </w:r>
      <w:hyperlink r:id="rId175">
        <w:r>
          <w:rPr>
            <w:rStyle w:val="Hyperlink"/>
          </w:rPr>
          <w:t>[31]</w:t>
        </w:r>
      </w:hyperlink>
      <w:r>
        <w:t xml:space="preserve"> </w:t>
      </w:r>
      <w:hyperlink r:id="rId176">
        <w:r>
          <w:rPr>
            <w:rStyle w:val="Hyperlink"/>
          </w:rPr>
          <w:t>[118]</w:t>
        </w:r>
      </w:hyperlink>
      <w:r>
        <w:t xml:space="preserve"> </w:t>
      </w:r>
      <w:hyperlink r:id="rId177">
        <w:r>
          <w:rPr>
            <w:rStyle w:val="Hyperlink"/>
          </w:rPr>
          <w:t>[119]</w:t>
        </w:r>
      </w:hyperlink>
      <w:r>
        <w:t xml:space="preserve"> </w:t>
      </w:r>
      <w:hyperlink r:id="rId178">
        <w:r>
          <w:rPr>
            <w:rStyle w:val="Hyperlink"/>
          </w:rPr>
          <w:t>[120]</w:t>
        </w:r>
      </w:hyperlink>
      <w:r>
        <w:t xml:space="preserve"> </w:t>
      </w:r>
      <w:hyperlink r:id="rId179">
        <w:r>
          <w:rPr>
            <w:rStyle w:val="Hyperlink"/>
          </w:rPr>
          <w:t>[121]</w:t>
        </w:r>
      </w:hyperlink>
      <w:r>
        <w:t xml:space="preserve"> Strategic Roadmap for Launching a Saudi System Integrator – Initial Offering &amp; Business Case.docx</w:t>
      </w:r>
    </w:p>
    <w:p w14:paraId="54518113" w14:textId="77777777" w:rsidR="00DC237F" w:rsidRDefault="00DC237F" w:rsidP="00DC237F">
      <w:pPr>
        <w:pStyle w:val="BodyText"/>
      </w:pPr>
      <w:hyperlink r:id="rId180">
        <w:r>
          <w:rPr>
            <w:rStyle w:val="Hyperlink"/>
          </w:rPr>
          <w:t>https://doganhub-my.sharepoint.com/personal/ahmet_dogan_doganhub_com/_layouts/15/Doc.aspx?sourcedoc=%7BD3E8EB13-7CBA-4192-ACE1-52F167B4A7BE%7D&amp;file=Strategic%20Roadmap%20for%20Launching%20a%20Saudi%20System%20Integrator%20%E2%80%93%20Initial%20Offering%20%26%20Business%20Case.docx&amp;action=default&amp;mobileredirect=true</w:t>
        </w:r>
      </w:hyperlink>
    </w:p>
    <w:p w14:paraId="55D19BE1" w14:textId="77777777" w:rsidR="00DC237F" w:rsidRDefault="00DC237F" w:rsidP="00DC237F">
      <w:pPr>
        <w:pStyle w:val="BodyText"/>
      </w:pPr>
      <w:hyperlink r:id="rId181" w:anchor=":~:text=In%20today%E2%80%99s%20fast,house%20GRC%20professionals">
        <w:r>
          <w:rPr>
            <w:rStyle w:val="Hyperlink"/>
          </w:rPr>
          <w:t>[46]</w:t>
        </w:r>
      </w:hyperlink>
      <w:r>
        <w:t xml:space="preserve"> </w:t>
      </w:r>
      <w:hyperlink r:id="rId182" w:anchor=":~:text=">
        <w:r>
          <w:rPr>
            <w:rStyle w:val="Hyperlink"/>
          </w:rPr>
          <w:t>[47]</w:t>
        </w:r>
      </w:hyperlink>
      <w:r>
        <w:t xml:space="preserve"> </w:t>
      </w:r>
      <w:hyperlink r:id="rId183" w:anchor=":~:text=Joushen%20has%20extensive%20experience%20in,compliance%20with%20various%20regulatory%20frameworks">
        <w:r>
          <w:rPr>
            <w:rStyle w:val="Hyperlink"/>
          </w:rPr>
          <w:t>[48]</w:t>
        </w:r>
      </w:hyperlink>
      <w:r>
        <w:t xml:space="preserve"> GRC as a Service: Simplifying Compliance and Risk Management with </w:t>
      </w:r>
      <w:proofErr w:type="spellStart"/>
      <w:r>
        <w:t>Joushen</w:t>
      </w:r>
      <w:proofErr w:type="spellEnd"/>
      <w:r>
        <w:t xml:space="preserve"> in Saudi Arabia – </w:t>
      </w:r>
      <w:proofErr w:type="spellStart"/>
      <w:r>
        <w:t>Joushen</w:t>
      </w:r>
      <w:proofErr w:type="spellEnd"/>
    </w:p>
    <w:p w14:paraId="6555E8BE" w14:textId="77777777" w:rsidR="00DC237F" w:rsidRDefault="00DC237F" w:rsidP="00DC237F">
      <w:pPr>
        <w:pStyle w:val="BodyText"/>
      </w:pPr>
      <w:hyperlink r:id="rId184">
        <w:r>
          <w:rPr>
            <w:rStyle w:val="Hyperlink"/>
          </w:rPr>
          <w:t>https://joushen.com/2024/07/15/grc-as-a-service-simplifying-compliance-and-risk-management-with-joushen-in-saudi-arabia/</w:t>
        </w:r>
      </w:hyperlink>
    </w:p>
    <w:bookmarkEnd w:id="10"/>
    <w:p w14:paraId="64723245" w14:textId="77777777" w:rsidR="003E16AB" w:rsidRDefault="003E16AB"/>
    <w:sectPr w:rsidR="003E16AB" w:rsidSect="00DC237F">
      <w:headerReference w:type="even" r:id="rId185"/>
      <w:headerReference w:type="default" r:id="rId186"/>
      <w:footerReference w:type="even" r:id="rId187"/>
      <w:footerReference w:type="default" r:id="rId188"/>
      <w:headerReference w:type="first" r:id="rId189"/>
      <w:footerReference w:type="first" r:id="rId190"/>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B94EC4" w14:textId="77777777" w:rsidR="00DC237F" w:rsidRDefault="00DC237F" w:rsidP="00DC237F">
      <w:pPr>
        <w:spacing w:after="0"/>
      </w:pPr>
      <w:r>
        <w:separator/>
      </w:r>
    </w:p>
  </w:endnote>
  <w:endnote w:type="continuationSeparator" w:id="0">
    <w:p w14:paraId="035D402D" w14:textId="77777777" w:rsidR="00DC237F" w:rsidRDefault="00DC237F" w:rsidP="00DC23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A8CC1E" w14:textId="77777777" w:rsidR="00DC237F" w:rsidRDefault="00DC23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16749766"/>
      <w:docPartObj>
        <w:docPartGallery w:val="Page Numbers (Bottom of Page)"/>
        <w:docPartUnique/>
      </w:docPartObj>
    </w:sdtPr>
    <w:sdtEndPr>
      <w:rPr>
        <w:color w:val="7F7F7F" w:themeColor="background1" w:themeShade="7F"/>
        <w:spacing w:val="60"/>
      </w:rPr>
    </w:sdtEndPr>
    <w:sdtContent>
      <w:p w14:paraId="483D465D" w14:textId="395BFBBB" w:rsidR="00DC237F" w:rsidRDefault="00DC237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BA05FB5" w14:textId="77777777" w:rsidR="00DC237F" w:rsidRDefault="00DC23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CC94FD" w14:textId="77777777" w:rsidR="00DC237F" w:rsidRDefault="00DC23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C3E82C" w14:textId="77777777" w:rsidR="00DC237F" w:rsidRDefault="00DC237F" w:rsidP="00DC237F">
      <w:pPr>
        <w:spacing w:after="0"/>
      </w:pPr>
      <w:r>
        <w:separator/>
      </w:r>
    </w:p>
  </w:footnote>
  <w:footnote w:type="continuationSeparator" w:id="0">
    <w:p w14:paraId="7BB86532" w14:textId="77777777" w:rsidR="00DC237F" w:rsidRDefault="00DC237F" w:rsidP="00DC237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EA0843" w14:textId="77777777" w:rsidR="00DC237F" w:rsidRDefault="00DC23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CA2026" w14:textId="3EE5B243" w:rsidR="00DC237F" w:rsidRDefault="00DC237F">
    <w:pPr>
      <w:pStyle w:val="Header"/>
    </w:pPr>
    <w:sdt>
      <w:sdtPr>
        <w:id w:val="434648759"/>
        <w:docPartObj>
          <w:docPartGallery w:val="Watermarks"/>
          <w:docPartUnique/>
        </w:docPartObj>
      </w:sdtPr>
      <w:sdtContent>
        <w:r>
          <w:rPr>
            <w:noProof/>
          </w:rPr>
          <w:pict w14:anchorId="1C8ACE7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1027" type="#_x0000_t136" style="position:absolute;margin-left:0;margin-top:0;width:527.85pt;height:131.95pt;rotation:315;z-index:-251657216;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sdt>
      <w:sdtPr>
        <w:alias w:val="Author"/>
        <w:tag w:val=""/>
        <w:id w:val="-1378773751"/>
        <w:placeholder>
          <w:docPart w:val="E56EC7818C834C3BAF561BF54F5B6B30"/>
        </w:placeholder>
        <w:dataBinding w:prefixMappings="xmlns:ns0='http://purl.org/dc/elements/1.1/' xmlns:ns1='http://schemas.openxmlformats.org/package/2006/metadata/core-properties' " w:xpath="/ns1:coreProperties[1]/ns0:creator[1]" w:storeItemID="{6C3C8BC8-F283-45AE-878A-BAB7291924A1}"/>
        <w:text/>
      </w:sdtPr>
      <w:sdtContent>
        <w:r>
          <w:t>Ahmet Dogan</w:t>
        </w:r>
      </w:sdtContent>
    </w:sdt>
    <w:r>
      <w:ptab w:relativeTo="margin" w:alignment="center" w:leader="none"/>
    </w:r>
    <w:r>
      <w:ptab w:relativeTo="margin" w:alignment="right" w:leader="none"/>
    </w:r>
    <w:r>
      <w:t>8/27/2025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C3D04D" w14:textId="77777777" w:rsidR="00DC237F" w:rsidRDefault="00DC23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A496A87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F8AA5CF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539272597">
    <w:abstractNumId w:val="0"/>
  </w:num>
  <w:num w:numId="2" w16cid:durableId="11733743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37F"/>
    <w:rsid w:val="003E16AB"/>
    <w:rsid w:val="003E7F8C"/>
    <w:rsid w:val="009338BD"/>
    <w:rsid w:val="00A5362D"/>
    <w:rsid w:val="00DC23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01A1CC"/>
  <w15:chartTrackingRefBased/>
  <w15:docId w15:val="{9D223C11-7C09-4AE3-949F-ECBD37402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37F"/>
    <w:pPr>
      <w:spacing w:after="200" w:line="240" w:lineRule="auto"/>
    </w:pPr>
    <w:rPr>
      <w:kern w:val="0"/>
      <w:lang w:val="en"/>
      <w14:ligatures w14:val="none"/>
    </w:rPr>
  </w:style>
  <w:style w:type="paragraph" w:styleId="Heading1">
    <w:name w:val="heading 1"/>
    <w:basedOn w:val="Normal"/>
    <w:next w:val="Normal"/>
    <w:link w:val="Heading1Char"/>
    <w:uiPriority w:val="9"/>
    <w:qFormat/>
    <w:rsid w:val="00DC23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23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23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23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23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23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23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23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23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3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23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23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23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23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23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23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23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237F"/>
    <w:rPr>
      <w:rFonts w:eastAsiaTheme="majorEastAsia" w:cstheme="majorBidi"/>
      <w:color w:val="272727" w:themeColor="text1" w:themeTint="D8"/>
    </w:rPr>
  </w:style>
  <w:style w:type="paragraph" w:styleId="Title">
    <w:name w:val="Title"/>
    <w:basedOn w:val="Normal"/>
    <w:next w:val="Normal"/>
    <w:link w:val="TitleChar"/>
    <w:uiPriority w:val="10"/>
    <w:qFormat/>
    <w:rsid w:val="00DC237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23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23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23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237F"/>
    <w:pPr>
      <w:spacing w:before="160"/>
      <w:jc w:val="center"/>
    </w:pPr>
    <w:rPr>
      <w:i/>
      <w:iCs/>
      <w:color w:val="404040" w:themeColor="text1" w:themeTint="BF"/>
    </w:rPr>
  </w:style>
  <w:style w:type="character" w:customStyle="1" w:styleId="QuoteChar">
    <w:name w:val="Quote Char"/>
    <w:basedOn w:val="DefaultParagraphFont"/>
    <w:link w:val="Quote"/>
    <w:uiPriority w:val="29"/>
    <w:rsid w:val="00DC237F"/>
    <w:rPr>
      <w:i/>
      <w:iCs/>
      <w:color w:val="404040" w:themeColor="text1" w:themeTint="BF"/>
    </w:rPr>
  </w:style>
  <w:style w:type="paragraph" w:styleId="ListParagraph">
    <w:name w:val="List Paragraph"/>
    <w:basedOn w:val="Normal"/>
    <w:uiPriority w:val="34"/>
    <w:qFormat/>
    <w:rsid w:val="00DC237F"/>
    <w:pPr>
      <w:ind w:left="720"/>
      <w:contextualSpacing/>
    </w:pPr>
  </w:style>
  <w:style w:type="character" w:styleId="IntenseEmphasis">
    <w:name w:val="Intense Emphasis"/>
    <w:basedOn w:val="DefaultParagraphFont"/>
    <w:uiPriority w:val="21"/>
    <w:qFormat/>
    <w:rsid w:val="00DC237F"/>
    <w:rPr>
      <w:i/>
      <w:iCs/>
      <w:color w:val="0F4761" w:themeColor="accent1" w:themeShade="BF"/>
    </w:rPr>
  </w:style>
  <w:style w:type="paragraph" w:styleId="IntenseQuote">
    <w:name w:val="Intense Quote"/>
    <w:basedOn w:val="Normal"/>
    <w:next w:val="Normal"/>
    <w:link w:val="IntenseQuoteChar"/>
    <w:uiPriority w:val="30"/>
    <w:qFormat/>
    <w:rsid w:val="00DC23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237F"/>
    <w:rPr>
      <w:i/>
      <w:iCs/>
      <w:color w:val="0F4761" w:themeColor="accent1" w:themeShade="BF"/>
    </w:rPr>
  </w:style>
  <w:style w:type="character" w:styleId="IntenseReference">
    <w:name w:val="Intense Reference"/>
    <w:basedOn w:val="DefaultParagraphFont"/>
    <w:uiPriority w:val="32"/>
    <w:qFormat/>
    <w:rsid w:val="00DC237F"/>
    <w:rPr>
      <w:b/>
      <w:bCs/>
      <w:smallCaps/>
      <w:color w:val="0F4761" w:themeColor="accent1" w:themeShade="BF"/>
      <w:spacing w:val="5"/>
    </w:rPr>
  </w:style>
  <w:style w:type="paragraph" w:styleId="BodyText">
    <w:name w:val="Body Text"/>
    <w:basedOn w:val="Normal"/>
    <w:link w:val="BodyTextChar"/>
    <w:qFormat/>
    <w:rsid w:val="00DC237F"/>
    <w:pPr>
      <w:spacing w:before="180" w:after="180"/>
    </w:pPr>
  </w:style>
  <w:style w:type="character" w:customStyle="1" w:styleId="BodyTextChar">
    <w:name w:val="Body Text Char"/>
    <w:basedOn w:val="DefaultParagraphFont"/>
    <w:link w:val="BodyText"/>
    <w:rsid w:val="00DC237F"/>
    <w:rPr>
      <w:kern w:val="0"/>
      <w:lang w:val="en"/>
      <w14:ligatures w14:val="none"/>
    </w:rPr>
  </w:style>
  <w:style w:type="paragraph" w:customStyle="1" w:styleId="FirstParagraph">
    <w:name w:val="First Paragraph"/>
    <w:basedOn w:val="BodyText"/>
    <w:next w:val="BodyText"/>
    <w:qFormat/>
    <w:rsid w:val="00DC237F"/>
  </w:style>
  <w:style w:type="paragraph" w:customStyle="1" w:styleId="Compact">
    <w:name w:val="Compact"/>
    <w:basedOn w:val="BodyText"/>
    <w:qFormat/>
    <w:rsid w:val="00DC237F"/>
    <w:pPr>
      <w:spacing w:before="36" w:after="36"/>
    </w:pPr>
  </w:style>
  <w:style w:type="paragraph" w:customStyle="1" w:styleId="Author">
    <w:name w:val="Author"/>
    <w:next w:val="BodyText"/>
    <w:qFormat/>
    <w:rsid w:val="00DC237F"/>
    <w:pPr>
      <w:keepNext/>
      <w:keepLines/>
      <w:spacing w:after="200" w:line="240" w:lineRule="auto"/>
      <w:jc w:val="center"/>
    </w:pPr>
    <w:rPr>
      <w:kern w:val="0"/>
      <w:lang w:val="en"/>
      <w14:ligatures w14:val="none"/>
    </w:rPr>
  </w:style>
  <w:style w:type="paragraph" w:styleId="Date">
    <w:name w:val="Date"/>
    <w:next w:val="BodyText"/>
    <w:link w:val="DateChar"/>
    <w:qFormat/>
    <w:rsid w:val="00DC237F"/>
    <w:pPr>
      <w:keepNext/>
      <w:keepLines/>
      <w:spacing w:after="200" w:line="240" w:lineRule="auto"/>
      <w:jc w:val="center"/>
    </w:pPr>
    <w:rPr>
      <w:kern w:val="0"/>
      <w:lang w:val="en"/>
      <w14:ligatures w14:val="none"/>
    </w:rPr>
  </w:style>
  <w:style w:type="character" w:customStyle="1" w:styleId="DateChar">
    <w:name w:val="Date Char"/>
    <w:basedOn w:val="DefaultParagraphFont"/>
    <w:link w:val="Date"/>
    <w:rsid w:val="00DC237F"/>
    <w:rPr>
      <w:kern w:val="0"/>
      <w:lang w:val="en"/>
      <w14:ligatures w14:val="none"/>
    </w:rPr>
  </w:style>
  <w:style w:type="paragraph" w:customStyle="1" w:styleId="AbstractTitle">
    <w:name w:val="Abstract Title"/>
    <w:basedOn w:val="Normal"/>
    <w:next w:val="Abstract"/>
    <w:qFormat/>
    <w:rsid w:val="00DC237F"/>
    <w:pPr>
      <w:keepNext/>
      <w:keepLines/>
      <w:spacing w:before="300" w:after="0"/>
      <w:jc w:val="center"/>
    </w:pPr>
    <w:rPr>
      <w:b/>
      <w:sz w:val="20"/>
      <w:szCs w:val="20"/>
    </w:rPr>
  </w:style>
  <w:style w:type="paragraph" w:customStyle="1" w:styleId="Abstract">
    <w:name w:val="Abstract"/>
    <w:basedOn w:val="Normal"/>
    <w:next w:val="BodyText"/>
    <w:qFormat/>
    <w:rsid w:val="00DC237F"/>
    <w:pPr>
      <w:keepNext/>
      <w:keepLines/>
      <w:spacing w:before="100" w:after="300"/>
    </w:pPr>
    <w:rPr>
      <w:sz w:val="20"/>
      <w:szCs w:val="20"/>
    </w:rPr>
  </w:style>
  <w:style w:type="paragraph" w:styleId="Bibliography">
    <w:name w:val="Bibliography"/>
    <w:basedOn w:val="Normal"/>
    <w:qFormat/>
    <w:rsid w:val="00DC237F"/>
  </w:style>
  <w:style w:type="paragraph" w:styleId="BlockText">
    <w:name w:val="Block Text"/>
    <w:basedOn w:val="BodyText"/>
    <w:next w:val="BodyText"/>
    <w:uiPriority w:val="9"/>
    <w:unhideWhenUsed/>
    <w:qFormat/>
    <w:rsid w:val="00DC237F"/>
    <w:pPr>
      <w:spacing w:before="100" w:after="100"/>
      <w:ind w:left="480" w:right="480"/>
    </w:pPr>
  </w:style>
  <w:style w:type="paragraph" w:styleId="FootnoteText">
    <w:name w:val="footnote text"/>
    <w:basedOn w:val="Normal"/>
    <w:link w:val="FootnoteTextChar"/>
    <w:uiPriority w:val="9"/>
    <w:unhideWhenUsed/>
    <w:qFormat/>
    <w:rsid w:val="00DC237F"/>
  </w:style>
  <w:style w:type="character" w:customStyle="1" w:styleId="FootnoteTextChar">
    <w:name w:val="Footnote Text Char"/>
    <w:basedOn w:val="DefaultParagraphFont"/>
    <w:link w:val="FootnoteText"/>
    <w:uiPriority w:val="9"/>
    <w:rsid w:val="00DC237F"/>
    <w:rPr>
      <w:kern w:val="0"/>
      <w:lang w:val="en"/>
      <w14:ligatures w14:val="none"/>
    </w:rPr>
  </w:style>
  <w:style w:type="paragraph" w:customStyle="1" w:styleId="FootnoteBlockText">
    <w:name w:val="Footnote Block Text"/>
    <w:basedOn w:val="FootnoteText"/>
    <w:next w:val="FootnoteText"/>
    <w:uiPriority w:val="9"/>
    <w:unhideWhenUsed/>
    <w:qFormat/>
    <w:rsid w:val="00DC237F"/>
    <w:pPr>
      <w:spacing w:before="100" w:after="100"/>
      <w:ind w:left="480" w:right="480"/>
    </w:pPr>
  </w:style>
  <w:style w:type="table" w:customStyle="1" w:styleId="Table">
    <w:name w:val="Table"/>
    <w:semiHidden/>
    <w:unhideWhenUsed/>
    <w:qFormat/>
    <w:rsid w:val="00DC237F"/>
    <w:pPr>
      <w:spacing w:after="200" w:line="240" w:lineRule="auto"/>
    </w:pPr>
    <w:rPr>
      <w:kern w:val="0"/>
      <w:lang w:val="en"/>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DC237F"/>
    <w:pPr>
      <w:keepNext/>
      <w:keepLines/>
      <w:spacing w:after="0"/>
    </w:pPr>
    <w:rPr>
      <w:b/>
    </w:rPr>
  </w:style>
  <w:style w:type="paragraph" w:customStyle="1" w:styleId="Definition">
    <w:name w:val="Definition"/>
    <w:basedOn w:val="Normal"/>
    <w:rsid w:val="00DC237F"/>
  </w:style>
  <w:style w:type="paragraph" w:styleId="Caption">
    <w:name w:val="caption"/>
    <w:basedOn w:val="Normal"/>
    <w:link w:val="CaptionChar"/>
    <w:rsid w:val="00DC237F"/>
    <w:pPr>
      <w:spacing w:after="120"/>
    </w:pPr>
    <w:rPr>
      <w:i/>
    </w:rPr>
  </w:style>
  <w:style w:type="paragraph" w:customStyle="1" w:styleId="TableCaption">
    <w:name w:val="Table Caption"/>
    <w:basedOn w:val="Caption"/>
    <w:rsid w:val="00DC237F"/>
    <w:pPr>
      <w:keepNext/>
    </w:pPr>
  </w:style>
  <w:style w:type="paragraph" w:customStyle="1" w:styleId="ImageCaption">
    <w:name w:val="Image Caption"/>
    <w:basedOn w:val="Caption"/>
    <w:rsid w:val="00DC237F"/>
  </w:style>
  <w:style w:type="paragraph" w:customStyle="1" w:styleId="Figure">
    <w:name w:val="Figure"/>
    <w:basedOn w:val="Normal"/>
    <w:rsid w:val="00DC237F"/>
  </w:style>
  <w:style w:type="paragraph" w:customStyle="1" w:styleId="CaptionedFigure">
    <w:name w:val="Captioned Figure"/>
    <w:basedOn w:val="Figure"/>
    <w:rsid w:val="00DC237F"/>
    <w:pPr>
      <w:keepNext/>
    </w:pPr>
  </w:style>
  <w:style w:type="character" w:customStyle="1" w:styleId="CaptionChar">
    <w:name w:val="Caption Char"/>
    <w:basedOn w:val="DefaultParagraphFont"/>
    <w:link w:val="Caption"/>
    <w:rsid w:val="00DC237F"/>
    <w:rPr>
      <w:i/>
      <w:kern w:val="0"/>
      <w:lang w:val="en"/>
      <w14:ligatures w14:val="none"/>
    </w:rPr>
  </w:style>
  <w:style w:type="character" w:customStyle="1" w:styleId="VerbatimChar">
    <w:name w:val="Verbatim Char"/>
    <w:basedOn w:val="CaptionChar"/>
    <w:link w:val="SourceCode"/>
    <w:rsid w:val="00DC237F"/>
    <w:rPr>
      <w:rFonts w:ascii="Consolas" w:hAnsi="Consolas"/>
      <w:i/>
      <w:kern w:val="0"/>
      <w:sz w:val="22"/>
      <w:lang w:val="en"/>
      <w14:ligatures w14:val="none"/>
    </w:rPr>
  </w:style>
  <w:style w:type="character" w:customStyle="1" w:styleId="SectionNumber">
    <w:name w:val="Section Number"/>
    <w:basedOn w:val="CaptionChar"/>
    <w:rsid w:val="00DC237F"/>
    <w:rPr>
      <w:i/>
      <w:kern w:val="0"/>
      <w:lang w:val="en"/>
      <w14:ligatures w14:val="none"/>
    </w:rPr>
  </w:style>
  <w:style w:type="character" w:styleId="FootnoteReference">
    <w:name w:val="footnote reference"/>
    <w:basedOn w:val="CaptionChar"/>
    <w:rsid w:val="00DC237F"/>
    <w:rPr>
      <w:i/>
      <w:kern w:val="0"/>
      <w:vertAlign w:val="superscript"/>
      <w:lang w:val="en"/>
      <w14:ligatures w14:val="none"/>
    </w:rPr>
  </w:style>
  <w:style w:type="character" w:styleId="Hyperlink">
    <w:name w:val="Hyperlink"/>
    <w:basedOn w:val="CaptionChar"/>
    <w:rsid w:val="00DC237F"/>
    <w:rPr>
      <w:i/>
      <w:color w:val="156082" w:themeColor="accent1"/>
      <w:kern w:val="0"/>
      <w:lang w:val="en"/>
      <w14:ligatures w14:val="none"/>
    </w:rPr>
  </w:style>
  <w:style w:type="paragraph" w:styleId="TOCHeading">
    <w:name w:val="TOC Heading"/>
    <w:basedOn w:val="Heading1"/>
    <w:next w:val="BodyText"/>
    <w:uiPriority w:val="39"/>
    <w:unhideWhenUsed/>
    <w:qFormat/>
    <w:rsid w:val="00DC237F"/>
    <w:pPr>
      <w:spacing w:before="240" w:line="259" w:lineRule="auto"/>
      <w:outlineLvl w:val="9"/>
    </w:pPr>
  </w:style>
  <w:style w:type="paragraph" w:customStyle="1" w:styleId="SourceCode">
    <w:name w:val="Source Code"/>
    <w:basedOn w:val="Normal"/>
    <w:link w:val="VerbatimChar"/>
    <w:rsid w:val="00DC237F"/>
    <w:pPr>
      <w:wordWrap w:val="0"/>
    </w:pPr>
    <w:rPr>
      <w:rFonts w:ascii="Consolas" w:hAnsi="Consolas"/>
      <w:i/>
      <w:sz w:val="22"/>
    </w:rPr>
  </w:style>
  <w:style w:type="character" w:customStyle="1" w:styleId="KeywordTok">
    <w:name w:val="KeywordTok"/>
    <w:basedOn w:val="VerbatimChar"/>
    <w:rsid w:val="00DC237F"/>
    <w:rPr>
      <w:rFonts w:ascii="Consolas" w:hAnsi="Consolas"/>
      <w:b/>
      <w:i/>
      <w:color w:val="007020"/>
      <w:kern w:val="0"/>
      <w:sz w:val="22"/>
      <w:lang w:val="en"/>
      <w14:ligatures w14:val="none"/>
    </w:rPr>
  </w:style>
  <w:style w:type="character" w:customStyle="1" w:styleId="DataTypeTok">
    <w:name w:val="DataTypeTok"/>
    <w:basedOn w:val="VerbatimChar"/>
    <w:rsid w:val="00DC237F"/>
    <w:rPr>
      <w:rFonts w:ascii="Consolas" w:hAnsi="Consolas"/>
      <w:i/>
      <w:color w:val="902000"/>
      <w:kern w:val="0"/>
      <w:sz w:val="22"/>
      <w:lang w:val="en"/>
      <w14:ligatures w14:val="none"/>
    </w:rPr>
  </w:style>
  <w:style w:type="character" w:customStyle="1" w:styleId="DecValTok">
    <w:name w:val="DecValTok"/>
    <w:basedOn w:val="VerbatimChar"/>
    <w:rsid w:val="00DC237F"/>
    <w:rPr>
      <w:rFonts w:ascii="Consolas" w:hAnsi="Consolas"/>
      <w:i/>
      <w:color w:val="40A070"/>
      <w:kern w:val="0"/>
      <w:sz w:val="22"/>
      <w:lang w:val="en"/>
      <w14:ligatures w14:val="none"/>
    </w:rPr>
  </w:style>
  <w:style w:type="character" w:customStyle="1" w:styleId="BaseNTok">
    <w:name w:val="BaseNTok"/>
    <w:basedOn w:val="VerbatimChar"/>
    <w:rsid w:val="00DC237F"/>
    <w:rPr>
      <w:rFonts w:ascii="Consolas" w:hAnsi="Consolas"/>
      <w:i/>
      <w:color w:val="40A070"/>
      <w:kern w:val="0"/>
      <w:sz w:val="22"/>
      <w:lang w:val="en"/>
      <w14:ligatures w14:val="none"/>
    </w:rPr>
  </w:style>
  <w:style w:type="character" w:customStyle="1" w:styleId="FloatTok">
    <w:name w:val="FloatTok"/>
    <w:basedOn w:val="VerbatimChar"/>
    <w:rsid w:val="00DC237F"/>
    <w:rPr>
      <w:rFonts w:ascii="Consolas" w:hAnsi="Consolas"/>
      <w:i/>
      <w:color w:val="40A070"/>
      <w:kern w:val="0"/>
      <w:sz w:val="22"/>
      <w:lang w:val="en"/>
      <w14:ligatures w14:val="none"/>
    </w:rPr>
  </w:style>
  <w:style w:type="character" w:customStyle="1" w:styleId="ConstantTok">
    <w:name w:val="ConstantTok"/>
    <w:basedOn w:val="VerbatimChar"/>
    <w:rsid w:val="00DC237F"/>
    <w:rPr>
      <w:rFonts w:ascii="Consolas" w:hAnsi="Consolas"/>
      <w:i/>
      <w:color w:val="880000"/>
      <w:kern w:val="0"/>
      <w:sz w:val="22"/>
      <w:lang w:val="en"/>
      <w14:ligatures w14:val="none"/>
    </w:rPr>
  </w:style>
  <w:style w:type="character" w:customStyle="1" w:styleId="CharTok">
    <w:name w:val="CharTok"/>
    <w:basedOn w:val="VerbatimChar"/>
    <w:rsid w:val="00DC237F"/>
    <w:rPr>
      <w:rFonts w:ascii="Consolas" w:hAnsi="Consolas"/>
      <w:i/>
      <w:color w:val="4070A0"/>
      <w:kern w:val="0"/>
      <w:sz w:val="22"/>
      <w:lang w:val="en"/>
      <w14:ligatures w14:val="none"/>
    </w:rPr>
  </w:style>
  <w:style w:type="character" w:customStyle="1" w:styleId="SpecialCharTok">
    <w:name w:val="SpecialCharTok"/>
    <w:basedOn w:val="VerbatimChar"/>
    <w:rsid w:val="00DC237F"/>
    <w:rPr>
      <w:rFonts w:ascii="Consolas" w:hAnsi="Consolas"/>
      <w:i/>
      <w:color w:val="4070A0"/>
      <w:kern w:val="0"/>
      <w:sz w:val="22"/>
      <w:lang w:val="en"/>
      <w14:ligatures w14:val="none"/>
    </w:rPr>
  </w:style>
  <w:style w:type="character" w:customStyle="1" w:styleId="StringTok">
    <w:name w:val="StringTok"/>
    <w:basedOn w:val="VerbatimChar"/>
    <w:rsid w:val="00DC237F"/>
    <w:rPr>
      <w:rFonts w:ascii="Consolas" w:hAnsi="Consolas"/>
      <w:i/>
      <w:color w:val="4070A0"/>
      <w:kern w:val="0"/>
      <w:sz w:val="22"/>
      <w:lang w:val="en"/>
      <w14:ligatures w14:val="none"/>
    </w:rPr>
  </w:style>
  <w:style w:type="character" w:customStyle="1" w:styleId="VerbatimStringTok">
    <w:name w:val="VerbatimStringTok"/>
    <w:basedOn w:val="VerbatimChar"/>
    <w:rsid w:val="00DC237F"/>
    <w:rPr>
      <w:rFonts w:ascii="Consolas" w:hAnsi="Consolas"/>
      <w:i/>
      <w:color w:val="4070A0"/>
      <w:kern w:val="0"/>
      <w:sz w:val="22"/>
      <w:lang w:val="en"/>
      <w14:ligatures w14:val="none"/>
    </w:rPr>
  </w:style>
  <w:style w:type="character" w:customStyle="1" w:styleId="SpecialStringTok">
    <w:name w:val="SpecialStringTok"/>
    <w:basedOn w:val="VerbatimChar"/>
    <w:rsid w:val="00DC237F"/>
    <w:rPr>
      <w:rFonts w:ascii="Consolas" w:hAnsi="Consolas"/>
      <w:i/>
      <w:color w:val="BB6688"/>
      <w:kern w:val="0"/>
      <w:sz w:val="22"/>
      <w:lang w:val="en"/>
      <w14:ligatures w14:val="none"/>
    </w:rPr>
  </w:style>
  <w:style w:type="character" w:customStyle="1" w:styleId="ImportTok">
    <w:name w:val="ImportTok"/>
    <w:basedOn w:val="VerbatimChar"/>
    <w:rsid w:val="00DC237F"/>
    <w:rPr>
      <w:rFonts w:ascii="Consolas" w:hAnsi="Consolas"/>
      <w:b/>
      <w:i/>
      <w:color w:val="008000"/>
      <w:kern w:val="0"/>
      <w:sz w:val="22"/>
      <w:lang w:val="en"/>
      <w14:ligatures w14:val="none"/>
    </w:rPr>
  </w:style>
  <w:style w:type="character" w:customStyle="1" w:styleId="CommentTok">
    <w:name w:val="CommentTok"/>
    <w:basedOn w:val="VerbatimChar"/>
    <w:rsid w:val="00DC237F"/>
    <w:rPr>
      <w:rFonts w:ascii="Consolas" w:hAnsi="Consolas"/>
      <w:i w:val="0"/>
      <w:color w:val="60A0B0"/>
      <w:kern w:val="0"/>
      <w:sz w:val="22"/>
      <w:lang w:val="en"/>
      <w14:ligatures w14:val="none"/>
    </w:rPr>
  </w:style>
  <w:style w:type="character" w:customStyle="1" w:styleId="DocumentationTok">
    <w:name w:val="DocumentationTok"/>
    <w:basedOn w:val="VerbatimChar"/>
    <w:rsid w:val="00DC237F"/>
    <w:rPr>
      <w:rFonts w:ascii="Consolas" w:hAnsi="Consolas"/>
      <w:i w:val="0"/>
      <w:color w:val="BA2121"/>
      <w:kern w:val="0"/>
      <w:sz w:val="22"/>
      <w:lang w:val="en"/>
      <w14:ligatures w14:val="none"/>
    </w:rPr>
  </w:style>
  <w:style w:type="character" w:customStyle="1" w:styleId="AnnotationTok">
    <w:name w:val="AnnotationTok"/>
    <w:basedOn w:val="VerbatimChar"/>
    <w:rsid w:val="00DC237F"/>
    <w:rPr>
      <w:rFonts w:ascii="Consolas" w:hAnsi="Consolas"/>
      <w:b/>
      <w:i w:val="0"/>
      <w:color w:val="60A0B0"/>
      <w:kern w:val="0"/>
      <w:sz w:val="22"/>
      <w:lang w:val="en"/>
      <w14:ligatures w14:val="none"/>
    </w:rPr>
  </w:style>
  <w:style w:type="character" w:customStyle="1" w:styleId="CommentVarTok">
    <w:name w:val="CommentVarTok"/>
    <w:basedOn w:val="VerbatimChar"/>
    <w:rsid w:val="00DC237F"/>
    <w:rPr>
      <w:rFonts w:ascii="Consolas" w:hAnsi="Consolas"/>
      <w:b/>
      <w:i w:val="0"/>
      <w:color w:val="60A0B0"/>
      <w:kern w:val="0"/>
      <w:sz w:val="22"/>
      <w:lang w:val="en"/>
      <w14:ligatures w14:val="none"/>
    </w:rPr>
  </w:style>
  <w:style w:type="character" w:customStyle="1" w:styleId="OtherTok">
    <w:name w:val="OtherTok"/>
    <w:basedOn w:val="VerbatimChar"/>
    <w:rsid w:val="00DC237F"/>
    <w:rPr>
      <w:rFonts w:ascii="Consolas" w:hAnsi="Consolas"/>
      <w:i/>
      <w:color w:val="007020"/>
      <w:kern w:val="0"/>
      <w:sz w:val="22"/>
      <w:lang w:val="en"/>
      <w14:ligatures w14:val="none"/>
    </w:rPr>
  </w:style>
  <w:style w:type="character" w:customStyle="1" w:styleId="FunctionTok">
    <w:name w:val="FunctionTok"/>
    <w:basedOn w:val="VerbatimChar"/>
    <w:rsid w:val="00DC237F"/>
    <w:rPr>
      <w:rFonts w:ascii="Consolas" w:hAnsi="Consolas"/>
      <w:i/>
      <w:color w:val="06287E"/>
      <w:kern w:val="0"/>
      <w:sz w:val="22"/>
      <w:lang w:val="en"/>
      <w14:ligatures w14:val="none"/>
    </w:rPr>
  </w:style>
  <w:style w:type="character" w:customStyle="1" w:styleId="VariableTok">
    <w:name w:val="VariableTok"/>
    <w:basedOn w:val="VerbatimChar"/>
    <w:rsid w:val="00DC237F"/>
    <w:rPr>
      <w:rFonts w:ascii="Consolas" w:hAnsi="Consolas"/>
      <w:i/>
      <w:color w:val="19177C"/>
      <w:kern w:val="0"/>
      <w:sz w:val="22"/>
      <w:lang w:val="en"/>
      <w14:ligatures w14:val="none"/>
    </w:rPr>
  </w:style>
  <w:style w:type="character" w:customStyle="1" w:styleId="ControlFlowTok">
    <w:name w:val="ControlFlowTok"/>
    <w:basedOn w:val="VerbatimChar"/>
    <w:rsid w:val="00DC237F"/>
    <w:rPr>
      <w:rFonts w:ascii="Consolas" w:hAnsi="Consolas"/>
      <w:b/>
      <w:i/>
      <w:color w:val="007020"/>
      <w:kern w:val="0"/>
      <w:sz w:val="22"/>
      <w:lang w:val="en"/>
      <w14:ligatures w14:val="none"/>
    </w:rPr>
  </w:style>
  <w:style w:type="character" w:customStyle="1" w:styleId="OperatorTok">
    <w:name w:val="OperatorTok"/>
    <w:basedOn w:val="VerbatimChar"/>
    <w:rsid w:val="00DC237F"/>
    <w:rPr>
      <w:rFonts w:ascii="Consolas" w:hAnsi="Consolas"/>
      <w:i/>
      <w:color w:val="666666"/>
      <w:kern w:val="0"/>
      <w:sz w:val="22"/>
      <w:lang w:val="en"/>
      <w14:ligatures w14:val="none"/>
    </w:rPr>
  </w:style>
  <w:style w:type="character" w:customStyle="1" w:styleId="BuiltInTok">
    <w:name w:val="BuiltInTok"/>
    <w:basedOn w:val="VerbatimChar"/>
    <w:rsid w:val="00DC237F"/>
    <w:rPr>
      <w:rFonts w:ascii="Consolas" w:hAnsi="Consolas"/>
      <w:i/>
      <w:color w:val="008000"/>
      <w:kern w:val="0"/>
      <w:sz w:val="22"/>
      <w:lang w:val="en"/>
      <w14:ligatures w14:val="none"/>
    </w:rPr>
  </w:style>
  <w:style w:type="character" w:customStyle="1" w:styleId="ExtensionTok">
    <w:name w:val="ExtensionTok"/>
    <w:basedOn w:val="VerbatimChar"/>
    <w:rsid w:val="00DC237F"/>
    <w:rPr>
      <w:rFonts w:ascii="Consolas" w:hAnsi="Consolas"/>
      <w:i/>
      <w:kern w:val="0"/>
      <w:sz w:val="22"/>
      <w:lang w:val="en"/>
      <w14:ligatures w14:val="none"/>
    </w:rPr>
  </w:style>
  <w:style w:type="character" w:customStyle="1" w:styleId="PreprocessorTok">
    <w:name w:val="PreprocessorTok"/>
    <w:basedOn w:val="VerbatimChar"/>
    <w:rsid w:val="00DC237F"/>
    <w:rPr>
      <w:rFonts w:ascii="Consolas" w:hAnsi="Consolas"/>
      <w:i/>
      <w:color w:val="BC7A00"/>
      <w:kern w:val="0"/>
      <w:sz w:val="22"/>
      <w:lang w:val="en"/>
      <w14:ligatures w14:val="none"/>
    </w:rPr>
  </w:style>
  <w:style w:type="character" w:customStyle="1" w:styleId="AttributeTok">
    <w:name w:val="AttributeTok"/>
    <w:basedOn w:val="VerbatimChar"/>
    <w:rsid w:val="00DC237F"/>
    <w:rPr>
      <w:rFonts w:ascii="Consolas" w:hAnsi="Consolas"/>
      <w:i/>
      <w:color w:val="7D9029"/>
      <w:kern w:val="0"/>
      <w:sz w:val="22"/>
      <w:lang w:val="en"/>
      <w14:ligatures w14:val="none"/>
    </w:rPr>
  </w:style>
  <w:style w:type="character" w:customStyle="1" w:styleId="RegionMarkerTok">
    <w:name w:val="RegionMarkerTok"/>
    <w:basedOn w:val="VerbatimChar"/>
    <w:rsid w:val="00DC237F"/>
    <w:rPr>
      <w:rFonts w:ascii="Consolas" w:hAnsi="Consolas"/>
      <w:i/>
      <w:kern w:val="0"/>
      <w:sz w:val="22"/>
      <w:lang w:val="en"/>
      <w14:ligatures w14:val="none"/>
    </w:rPr>
  </w:style>
  <w:style w:type="character" w:customStyle="1" w:styleId="InformationTok">
    <w:name w:val="InformationTok"/>
    <w:basedOn w:val="VerbatimChar"/>
    <w:rsid w:val="00DC237F"/>
    <w:rPr>
      <w:rFonts w:ascii="Consolas" w:hAnsi="Consolas"/>
      <w:b/>
      <w:i w:val="0"/>
      <w:color w:val="60A0B0"/>
      <w:kern w:val="0"/>
      <w:sz w:val="22"/>
      <w:lang w:val="en"/>
      <w14:ligatures w14:val="none"/>
    </w:rPr>
  </w:style>
  <w:style w:type="character" w:customStyle="1" w:styleId="WarningTok">
    <w:name w:val="WarningTok"/>
    <w:basedOn w:val="VerbatimChar"/>
    <w:rsid w:val="00DC237F"/>
    <w:rPr>
      <w:rFonts w:ascii="Consolas" w:hAnsi="Consolas"/>
      <w:b/>
      <w:i w:val="0"/>
      <w:color w:val="60A0B0"/>
      <w:kern w:val="0"/>
      <w:sz w:val="22"/>
      <w:lang w:val="en"/>
      <w14:ligatures w14:val="none"/>
    </w:rPr>
  </w:style>
  <w:style w:type="character" w:customStyle="1" w:styleId="AlertTok">
    <w:name w:val="AlertTok"/>
    <w:basedOn w:val="VerbatimChar"/>
    <w:rsid w:val="00DC237F"/>
    <w:rPr>
      <w:rFonts w:ascii="Consolas" w:hAnsi="Consolas"/>
      <w:b/>
      <w:i/>
      <w:color w:val="FF0000"/>
      <w:kern w:val="0"/>
      <w:sz w:val="22"/>
      <w:lang w:val="en"/>
      <w14:ligatures w14:val="none"/>
    </w:rPr>
  </w:style>
  <w:style w:type="character" w:customStyle="1" w:styleId="ErrorTok">
    <w:name w:val="ErrorTok"/>
    <w:basedOn w:val="VerbatimChar"/>
    <w:rsid w:val="00DC237F"/>
    <w:rPr>
      <w:rFonts w:ascii="Consolas" w:hAnsi="Consolas"/>
      <w:b/>
      <w:i/>
      <w:color w:val="FF0000"/>
      <w:kern w:val="0"/>
      <w:sz w:val="22"/>
      <w:lang w:val="en"/>
      <w14:ligatures w14:val="none"/>
    </w:rPr>
  </w:style>
  <w:style w:type="character" w:customStyle="1" w:styleId="NormalTok">
    <w:name w:val="NormalTok"/>
    <w:basedOn w:val="VerbatimChar"/>
    <w:rsid w:val="00DC237F"/>
    <w:rPr>
      <w:rFonts w:ascii="Consolas" w:hAnsi="Consolas"/>
      <w:i/>
      <w:kern w:val="0"/>
      <w:sz w:val="22"/>
      <w:lang w:val="en"/>
      <w14:ligatures w14:val="none"/>
    </w:rPr>
  </w:style>
  <w:style w:type="paragraph" w:styleId="Header">
    <w:name w:val="header"/>
    <w:basedOn w:val="Normal"/>
    <w:link w:val="HeaderChar"/>
    <w:uiPriority w:val="99"/>
    <w:unhideWhenUsed/>
    <w:rsid w:val="00DC237F"/>
    <w:pPr>
      <w:tabs>
        <w:tab w:val="center" w:pos="4680"/>
        <w:tab w:val="right" w:pos="9360"/>
      </w:tabs>
      <w:spacing w:after="0"/>
    </w:pPr>
  </w:style>
  <w:style w:type="character" w:customStyle="1" w:styleId="HeaderChar">
    <w:name w:val="Header Char"/>
    <w:basedOn w:val="DefaultParagraphFont"/>
    <w:link w:val="Header"/>
    <w:uiPriority w:val="99"/>
    <w:rsid w:val="00DC237F"/>
    <w:rPr>
      <w:kern w:val="0"/>
      <w:lang w:val="en"/>
      <w14:ligatures w14:val="none"/>
    </w:rPr>
  </w:style>
  <w:style w:type="paragraph" w:styleId="Footer">
    <w:name w:val="footer"/>
    <w:basedOn w:val="Normal"/>
    <w:link w:val="FooterChar"/>
    <w:uiPriority w:val="99"/>
    <w:unhideWhenUsed/>
    <w:rsid w:val="00DC237F"/>
    <w:pPr>
      <w:tabs>
        <w:tab w:val="center" w:pos="4680"/>
        <w:tab w:val="right" w:pos="9360"/>
      </w:tabs>
      <w:spacing w:after="0"/>
    </w:pPr>
  </w:style>
  <w:style w:type="character" w:customStyle="1" w:styleId="FooterChar">
    <w:name w:val="Footer Char"/>
    <w:basedOn w:val="DefaultParagraphFont"/>
    <w:link w:val="Footer"/>
    <w:uiPriority w:val="99"/>
    <w:rsid w:val="00DC237F"/>
    <w:rPr>
      <w:kern w:val="0"/>
      <w:lang w:val="en"/>
      <w14:ligatures w14:val="none"/>
    </w:rPr>
  </w:style>
  <w:style w:type="character" w:styleId="PlaceholderText">
    <w:name w:val="Placeholder Text"/>
    <w:basedOn w:val="DefaultParagraphFont"/>
    <w:uiPriority w:val="99"/>
    <w:semiHidden/>
    <w:rsid w:val="00DC237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file://file-5gh5LKH5NZTPngpnMXdn1k" TargetMode="External"/><Relationship Id="rId21" Type="http://schemas.openxmlformats.org/officeDocument/2006/relationships/hyperlink" Target="file://file-5gh5LKH5NZTPngpnMXdn1k" TargetMode="External"/><Relationship Id="rId42" Type="http://schemas.openxmlformats.org/officeDocument/2006/relationships/hyperlink" Target="file://file-5gh5LKH5NZTPngpnMXdn1k" TargetMode="External"/><Relationship Id="rId63" Type="http://schemas.openxmlformats.org/officeDocument/2006/relationships/hyperlink" Target="file://file-5gh5LKH5NZTPngpnMXdn1k" TargetMode="External"/><Relationship Id="rId84" Type="http://schemas.openxmlformats.org/officeDocument/2006/relationships/hyperlink" Target="file://file-5gh5LKH5NZTPngpnMXdn1k" TargetMode="External"/><Relationship Id="rId138" Type="http://schemas.openxmlformats.org/officeDocument/2006/relationships/hyperlink" Target="file://file-5gh5LKH5NZTPngpnMXdn1k" TargetMode="External"/><Relationship Id="rId159" Type="http://schemas.openxmlformats.org/officeDocument/2006/relationships/hyperlink" Target="file://file-5gh5LKH5NZTPngpnMXdn1k" TargetMode="External"/><Relationship Id="rId170" Type="http://schemas.openxmlformats.org/officeDocument/2006/relationships/hyperlink" Target="https://mizangrc.com/stakeholders-hub/" TargetMode="External"/><Relationship Id="rId191" Type="http://schemas.openxmlformats.org/officeDocument/2006/relationships/fontTable" Target="fontTable.xml"/><Relationship Id="rId107" Type="http://schemas.openxmlformats.org/officeDocument/2006/relationships/hyperlink" Target="file://file-5gh5LKH5NZTPngpnMXdn1k" TargetMode="External"/><Relationship Id="rId11" Type="http://schemas.openxmlformats.org/officeDocument/2006/relationships/hyperlink" Target="https://www.imarcgroup.com/saudi-arabia-governance-risk-compliance-platform-market" TargetMode="External"/><Relationship Id="rId32" Type="http://schemas.openxmlformats.org/officeDocument/2006/relationships/hyperlink" Target="file://file-5gh5LKH5NZTPngpnMXdn1k" TargetMode="External"/><Relationship Id="rId53" Type="http://schemas.openxmlformats.org/officeDocument/2006/relationships/hyperlink" Target="https://doganhub-my.sharepoint.com/personal/ahmet_dogan_doganhub_com/_layouts/15/Doc.aspx?sourcedoc=%7BD3E8EB13-7CBA-4192-ACE1-52F167B4A7BE%7D&amp;file=Strategic%20Roadmap%20for%20Launching%20a%20Saudi%20System%20Integrator%20%E2%80%93%20Initial%20Offering%20%26%20Business%20Case.docx&amp;action=default&amp;mobileredirect=true" TargetMode="External"/><Relationship Id="rId74" Type="http://schemas.openxmlformats.org/officeDocument/2006/relationships/hyperlink" Target="https://joushen.com/2024/07/15/grc-as-a-service-simplifying-compliance-and-risk-management-with-joushen-in-saudi-arabia/" TargetMode="External"/><Relationship Id="rId128" Type="http://schemas.openxmlformats.org/officeDocument/2006/relationships/hyperlink" Target="file://file-5gh5LKH5NZTPngpnMXdn1k" TargetMode="External"/><Relationship Id="rId149" Type="http://schemas.openxmlformats.org/officeDocument/2006/relationships/hyperlink" Target="file://file-5gh5LKH5NZTPngpnMXdn1k" TargetMode="External"/><Relationship Id="rId5" Type="http://schemas.openxmlformats.org/officeDocument/2006/relationships/styles" Target="styles.xml"/><Relationship Id="rId95" Type="http://schemas.openxmlformats.org/officeDocument/2006/relationships/hyperlink" Target="file://file-5gh5LKH5NZTPngpnMXdn1k" TargetMode="External"/><Relationship Id="rId160" Type="http://schemas.openxmlformats.org/officeDocument/2006/relationships/hyperlink" Target="file://file-5gh5LKH5NZTPngpnMXdn1k" TargetMode="External"/><Relationship Id="rId181" Type="http://schemas.openxmlformats.org/officeDocument/2006/relationships/hyperlink" Target="https://joushen.com/2024/07/15/grc-as-a-service-simplifying-compliance-and-risk-management-with-joushen-in-saudi-arabia/" TargetMode="External"/><Relationship Id="rId22" Type="http://schemas.openxmlformats.org/officeDocument/2006/relationships/hyperlink" Target="file://file-5gh5LKH5NZTPngpnMXdn1k" TargetMode="External"/><Relationship Id="rId43" Type="http://schemas.openxmlformats.org/officeDocument/2006/relationships/hyperlink" Target="file://file-5gh5LKH5NZTPngpnMXdn1k" TargetMode="External"/><Relationship Id="rId64" Type="http://schemas.openxmlformats.org/officeDocument/2006/relationships/hyperlink" Target="file://file-5gh5LKH5NZTPngpnMXdn1k" TargetMode="External"/><Relationship Id="rId118" Type="http://schemas.openxmlformats.org/officeDocument/2006/relationships/hyperlink" Target="file://file-5gh5LKH5NZTPngpnMXdn1k" TargetMode="External"/><Relationship Id="rId139" Type="http://schemas.openxmlformats.org/officeDocument/2006/relationships/hyperlink" Target="file://file-5gh5LKH5NZTPngpnMXdn1k" TargetMode="External"/><Relationship Id="rId85" Type="http://schemas.openxmlformats.org/officeDocument/2006/relationships/hyperlink" Target="file://file-5gh5LKH5NZTPngpnMXdn1k" TargetMode="External"/><Relationship Id="rId150" Type="http://schemas.openxmlformats.org/officeDocument/2006/relationships/hyperlink" Target="file://file-5gh5LKH5NZTPngpnMXdn1k" TargetMode="External"/><Relationship Id="rId171" Type="http://schemas.openxmlformats.org/officeDocument/2006/relationships/hyperlink" Target="https://mizangrc.com/stakeholders-hub/" TargetMode="External"/><Relationship Id="rId192" Type="http://schemas.openxmlformats.org/officeDocument/2006/relationships/glossaryDocument" Target="glossary/document.xml"/><Relationship Id="rId12" Type="http://schemas.openxmlformats.org/officeDocument/2006/relationships/hyperlink" Target="https://www.micromindercs.com/blog/data-protection-compliance-in-saudi-arabia" TargetMode="External"/><Relationship Id="rId33" Type="http://schemas.openxmlformats.org/officeDocument/2006/relationships/hyperlink" Target="file://file-5gh5LKH5NZTPngpnMXdn1k" TargetMode="External"/><Relationship Id="rId108" Type="http://schemas.openxmlformats.org/officeDocument/2006/relationships/hyperlink" Target="file://file-5gh5LKH5NZTPngpnMXdn1k" TargetMode="External"/><Relationship Id="rId129" Type="http://schemas.openxmlformats.org/officeDocument/2006/relationships/hyperlink" Target="file://file-5gh5LKH5NZTPngpnMXdn1k" TargetMode="External"/><Relationship Id="rId54" Type="http://schemas.openxmlformats.org/officeDocument/2006/relationships/hyperlink" Target="https://doganhub-my.sharepoint.com/personal/ahmet_dogan_doganhub_com/_layouts/15/Doc.aspx?sourcedoc=%7BD3E8EB13-7CBA-4192-ACE1-52F167B4A7BE%7D&amp;file=Strategic%20Roadmap%20for%20Launching%20a%20Saudi%20System%20Integrator%20%E2%80%93%20Initial%20Offering%20%26%20Business%20Case.docx&amp;action=default&amp;mobileredirect=true" TargetMode="External"/><Relationship Id="rId75" Type="http://schemas.openxmlformats.org/officeDocument/2006/relationships/hyperlink" Target="https://joushen.com/2024/07/15/grc-as-a-service-simplifying-compliance-and-risk-management-with-joushen-in-saudi-arabia/" TargetMode="External"/><Relationship Id="rId96" Type="http://schemas.openxmlformats.org/officeDocument/2006/relationships/hyperlink" Target="file://file-5gh5LKH5NZTPngpnMXdn1k" TargetMode="External"/><Relationship Id="rId140" Type="http://schemas.openxmlformats.org/officeDocument/2006/relationships/hyperlink" Target="file://file-5gh5LKH5NZTPngpnMXdn1k" TargetMode="External"/><Relationship Id="rId161" Type="http://schemas.openxmlformats.org/officeDocument/2006/relationships/hyperlink" Target="file://file-5gh5LKH5NZTPngpnMXdn1k" TargetMode="External"/><Relationship Id="rId182" Type="http://schemas.openxmlformats.org/officeDocument/2006/relationships/hyperlink" Target="https://joushen.com/2024/07/15/grc-as-a-service-simplifying-compliance-and-risk-management-with-joushen-in-saudi-arabia/" TargetMode="External"/><Relationship Id="rId6" Type="http://schemas.openxmlformats.org/officeDocument/2006/relationships/settings" Target="settings.xml"/><Relationship Id="rId23" Type="http://schemas.openxmlformats.org/officeDocument/2006/relationships/hyperlink" Target="file://file-5gh5LKH5NZTPngpnMXdn1k" TargetMode="External"/><Relationship Id="rId119" Type="http://schemas.openxmlformats.org/officeDocument/2006/relationships/hyperlink" Target="file://file-5gh5LKH5NZTPngpnMXdn1k" TargetMode="External"/><Relationship Id="rId44" Type="http://schemas.openxmlformats.org/officeDocument/2006/relationships/hyperlink" Target="file://file-5gh5LKH5NZTPngpnMXdn1k" TargetMode="External"/><Relationship Id="rId65" Type="http://schemas.openxmlformats.org/officeDocument/2006/relationships/hyperlink" Target="file://file-5gh5LKH5NZTPngpnMXdn1k" TargetMode="External"/><Relationship Id="rId86" Type="http://schemas.openxmlformats.org/officeDocument/2006/relationships/hyperlink" Target="file://file-5gh5LKH5NZTPngpnMXdn1k" TargetMode="External"/><Relationship Id="rId130" Type="http://schemas.openxmlformats.org/officeDocument/2006/relationships/hyperlink" Target="file://file-5gh5LKH5NZTPngpnMXdn1k" TargetMode="External"/><Relationship Id="rId151" Type="http://schemas.openxmlformats.org/officeDocument/2006/relationships/hyperlink" Target="file://file-5gh5LKH5NZTPngpnMXdn1k" TargetMode="External"/><Relationship Id="rId172" Type="http://schemas.openxmlformats.org/officeDocument/2006/relationships/hyperlink" Target="https://paramountassure.com/ext-case-studies/how-the-archer-grc-platform-helped-a-middle-east-bank-take-better-business-desisions/" TargetMode="External"/><Relationship Id="rId193" Type="http://schemas.openxmlformats.org/officeDocument/2006/relationships/theme" Target="theme/theme1.xml"/><Relationship Id="rId13" Type="http://schemas.openxmlformats.org/officeDocument/2006/relationships/hyperlink" Target="https://mizangrc.com/stakeholders-hub/" TargetMode="External"/><Relationship Id="rId109" Type="http://schemas.openxmlformats.org/officeDocument/2006/relationships/hyperlink" Target="file://file-5gh5LKH5NZTPngpnMXdn1k" TargetMode="External"/><Relationship Id="rId34" Type="http://schemas.openxmlformats.org/officeDocument/2006/relationships/hyperlink" Target="file://file-5gh5LKH5NZTPngpnMXdn1k" TargetMode="External"/><Relationship Id="rId50" Type="http://schemas.openxmlformats.org/officeDocument/2006/relationships/hyperlink" Target="file://file-5gh5LKH5NZTPngpnMXdn1k" TargetMode="External"/><Relationship Id="rId55" Type="http://schemas.openxmlformats.org/officeDocument/2006/relationships/hyperlink" Target="file://file-5gh5LKH5NZTPngpnMXdn1k" TargetMode="External"/><Relationship Id="rId76" Type="http://schemas.openxmlformats.org/officeDocument/2006/relationships/hyperlink" Target="https://joushen.com/2024/07/15/grc-as-a-service-simplifying-compliance-and-risk-management-with-joushen-in-saudi-arabia/" TargetMode="External"/><Relationship Id="rId97" Type="http://schemas.openxmlformats.org/officeDocument/2006/relationships/hyperlink" Target="file://file-5gh5LKH5NZTPngpnMXdn1k" TargetMode="External"/><Relationship Id="rId104" Type="http://schemas.openxmlformats.org/officeDocument/2006/relationships/hyperlink" Target="file://file-5gh5LKH5NZTPngpnMXdn1k" TargetMode="External"/><Relationship Id="rId120" Type="http://schemas.openxmlformats.org/officeDocument/2006/relationships/hyperlink" Target="file://file-5gh5LKH5NZTPngpnMXdn1k" TargetMode="External"/><Relationship Id="rId125" Type="http://schemas.openxmlformats.org/officeDocument/2006/relationships/hyperlink" Target="file://file-5gh5LKH5NZTPngpnMXdn1k" TargetMode="External"/><Relationship Id="rId141" Type="http://schemas.openxmlformats.org/officeDocument/2006/relationships/hyperlink" Target="file://file-5gh5LKH5NZTPngpnMXdn1k" TargetMode="External"/><Relationship Id="rId146" Type="http://schemas.openxmlformats.org/officeDocument/2006/relationships/hyperlink" Target="file://file-5gh5LKH5NZTPngpnMXdn1k" TargetMode="External"/><Relationship Id="rId167" Type="http://schemas.openxmlformats.org/officeDocument/2006/relationships/hyperlink" Target="https://www.imarcgroup.com/saudi-arabia-governance-risk-compliance-platform-market" TargetMode="External"/><Relationship Id="rId188" Type="http://schemas.openxmlformats.org/officeDocument/2006/relationships/footer" Target="footer2.xml"/><Relationship Id="rId7" Type="http://schemas.openxmlformats.org/officeDocument/2006/relationships/webSettings" Target="webSettings.xml"/><Relationship Id="rId71" Type="http://schemas.openxmlformats.org/officeDocument/2006/relationships/hyperlink" Target="file://file-5gh5LKH5NZTPngpnMXdn1k" TargetMode="External"/><Relationship Id="rId92" Type="http://schemas.openxmlformats.org/officeDocument/2006/relationships/hyperlink" Target="file://file-5gh5LKH5NZTPngpnMXdn1k" TargetMode="External"/><Relationship Id="rId162" Type="http://schemas.openxmlformats.org/officeDocument/2006/relationships/hyperlink" Target="file://file-5gh5LKH5NZTPngpnMXdn1k" TargetMode="External"/><Relationship Id="rId183" Type="http://schemas.openxmlformats.org/officeDocument/2006/relationships/hyperlink" Target="https://joushen.com/2024/07/15/grc-as-a-service-simplifying-compliance-and-risk-management-with-joushen-in-saudi-arabia/" TargetMode="External"/><Relationship Id="rId2" Type="http://schemas.openxmlformats.org/officeDocument/2006/relationships/customXml" Target="../customXml/item2.xml"/><Relationship Id="rId29" Type="http://schemas.openxmlformats.org/officeDocument/2006/relationships/hyperlink" Target="file://file-5gh5LKH5NZTPngpnMXdn1k" TargetMode="External"/><Relationship Id="rId24" Type="http://schemas.openxmlformats.org/officeDocument/2006/relationships/hyperlink" Target="file://file-5gh5LKH5NZTPngpnMXdn1k" TargetMode="External"/><Relationship Id="rId40" Type="http://schemas.openxmlformats.org/officeDocument/2006/relationships/hyperlink" Target="file://file-5gh5LKH5NZTPngpnMXdn1k" TargetMode="External"/><Relationship Id="rId45" Type="http://schemas.openxmlformats.org/officeDocument/2006/relationships/hyperlink" Target="file://file-5gh5LKH5NZTPngpnMXdn1k" TargetMode="External"/><Relationship Id="rId66" Type="http://schemas.openxmlformats.org/officeDocument/2006/relationships/hyperlink" Target="file://file-5gh5LKH5NZTPngpnMXdn1k" TargetMode="External"/><Relationship Id="rId87" Type="http://schemas.openxmlformats.org/officeDocument/2006/relationships/hyperlink" Target="file://file-5gh5LKH5NZTPngpnMXdn1k" TargetMode="External"/><Relationship Id="rId110" Type="http://schemas.openxmlformats.org/officeDocument/2006/relationships/hyperlink" Target="file://file-5gh5LKH5NZTPngpnMXdn1k" TargetMode="External"/><Relationship Id="rId115" Type="http://schemas.openxmlformats.org/officeDocument/2006/relationships/hyperlink" Target="file://file-5gh5LKH5NZTPngpnMXdn1k" TargetMode="External"/><Relationship Id="rId131" Type="http://schemas.openxmlformats.org/officeDocument/2006/relationships/hyperlink" Target="file://file-5gh5LKH5NZTPngpnMXdn1k" TargetMode="External"/><Relationship Id="rId136" Type="http://schemas.openxmlformats.org/officeDocument/2006/relationships/hyperlink" Target="file://file-5gh5LKH5NZTPngpnMXdn1k" TargetMode="External"/><Relationship Id="rId157" Type="http://schemas.openxmlformats.org/officeDocument/2006/relationships/hyperlink" Target="file://file-5gh5LKH5NZTPngpnMXdn1k" TargetMode="External"/><Relationship Id="rId178" Type="http://schemas.openxmlformats.org/officeDocument/2006/relationships/hyperlink" Target="https://doganhub-my.sharepoint.com/personal/ahmet_dogan_doganhub_com/_layouts/15/Doc.aspx?sourcedoc=%7BD3E8EB13-7CBA-4192-ACE1-52F167B4A7BE%7D&amp;file=Strategic%20Roadmap%20for%20Launching%20a%20Saudi%20System%20Integrator%20%E2%80%93%20Initial%20Offering%20%26%20Business%20Case.docx&amp;action=default&amp;mobileredirect=true" TargetMode="External"/><Relationship Id="rId61" Type="http://schemas.openxmlformats.org/officeDocument/2006/relationships/hyperlink" Target="file://file-5gh5LKH5NZTPngpnMXdn1k" TargetMode="External"/><Relationship Id="rId82" Type="http://schemas.openxmlformats.org/officeDocument/2006/relationships/hyperlink" Target="file://file-5gh5LKH5NZTPngpnMXdn1k" TargetMode="External"/><Relationship Id="rId152" Type="http://schemas.openxmlformats.org/officeDocument/2006/relationships/hyperlink" Target="file://file-5gh5LKH5NZTPngpnMXdn1k" TargetMode="External"/><Relationship Id="rId173" Type="http://schemas.openxmlformats.org/officeDocument/2006/relationships/hyperlink" Target="https://paramountassure.com/ext-case-studies/how-the-archer-grc-platform-helped-a-middle-east-bank-take-better-business-desisions/" TargetMode="External"/><Relationship Id="rId19" Type="http://schemas.openxmlformats.org/officeDocument/2006/relationships/hyperlink" Target="file://file-5gh5LKH5NZTPngpnMXdn1k" TargetMode="External"/><Relationship Id="rId14" Type="http://schemas.openxmlformats.org/officeDocument/2006/relationships/hyperlink" Target="file://file-5gh5LKH5NZTPngpnMXdn1k" TargetMode="External"/><Relationship Id="rId30" Type="http://schemas.openxmlformats.org/officeDocument/2006/relationships/hyperlink" Target="file://file-5gh5LKH5NZTPngpnMXdn1k" TargetMode="External"/><Relationship Id="rId35" Type="http://schemas.openxmlformats.org/officeDocument/2006/relationships/hyperlink" Target="file://file-5gh5LKH5NZTPngpnMXdn1k" TargetMode="External"/><Relationship Id="rId56" Type="http://schemas.openxmlformats.org/officeDocument/2006/relationships/hyperlink" Target="file://file-5gh5LKH5NZTPngpnMXdn1k" TargetMode="External"/><Relationship Id="rId77" Type="http://schemas.openxmlformats.org/officeDocument/2006/relationships/hyperlink" Target="file://file-5gh5LKH5NZTPngpnMXdn1k" TargetMode="External"/><Relationship Id="rId100" Type="http://schemas.openxmlformats.org/officeDocument/2006/relationships/hyperlink" Target="file://file-5gh5LKH5NZTPngpnMXdn1k" TargetMode="External"/><Relationship Id="rId105" Type="http://schemas.openxmlformats.org/officeDocument/2006/relationships/hyperlink" Target="file://file-5gh5LKH5NZTPngpnMXdn1k" TargetMode="External"/><Relationship Id="rId126" Type="http://schemas.openxmlformats.org/officeDocument/2006/relationships/hyperlink" Target="file://file-5gh5LKH5NZTPngpnMXdn1k" TargetMode="External"/><Relationship Id="rId147" Type="http://schemas.openxmlformats.org/officeDocument/2006/relationships/hyperlink" Target="file://file-5gh5LKH5NZTPngpnMXdn1k" TargetMode="External"/><Relationship Id="rId168" Type="http://schemas.openxmlformats.org/officeDocument/2006/relationships/hyperlink" Target="https://www.micromindercs.com/blog/data-protection-compliance-in-saudi-arabia" TargetMode="External"/><Relationship Id="rId8" Type="http://schemas.openxmlformats.org/officeDocument/2006/relationships/footnotes" Target="footnotes.xml"/><Relationship Id="rId51" Type="http://schemas.openxmlformats.org/officeDocument/2006/relationships/hyperlink" Target="https://paramountassure.com/ext-case-studies/how-the-archer-grc-platform-helped-a-middle-east-bank-take-better-business-desisions/" TargetMode="External"/><Relationship Id="rId72" Type="http://schemas.openxmlformats.org/officeDocument/2006/relationships/hyperlink" Target="file://file-5gh5LKH5NZTPngpnMXdn1k" TargetMode="External"/><Relationship Id="rId93" Type="http://schemas.openxmlformats.org/officeDocument/2006/relationships/hyperlink" Target="file://file-5gh5LKH5NZTPngpnMXdn1k" TargetMode="External"/><Relationship Id="rId98" Type="http://schemas.openxmlformats.org/officeDocument/2006/relationships/hyperlink" Target="file://file-5gh5LKH5NZTPngpnMXdn1k" TargetMode="External"/><Relationship Id="rId121" Type="http://schemas.openxmlformats.org/officeDocument/2006/relationships/hyperlink" Target="file://file-5gh5LKH5NZTPngpnMXdn1k" TargetMode="External"/><Relationship Id="rId142" Type="http://schemas.openxmlformats.org/officeDocument/2006/relationships/hyperlink" Target="file://file-5gh5LKH5NZTPngpnMXdn1k" TargetMode="External"/><Relationship Id="rId163" Type="http://schemas.openxmlformats.org/officeDocument/2006/relationships/hyperlink" Target="file://file-5gh5LKH5NZTPngpnMXdn1k" TargetMode="External"/><Relationship Id="rId184" Type="http://schemas.openxmlformats.org/officeDocument/2006/relationships/hyperlink" Target="https://joushen.com/2024/07/15/grc-as-a-service-simplifying-compliance-and-risk-management-with-joushen-in-saudi-arabia/" TargetMode="External"/><Relationship Id="rId189" Type="http://schemas.openxmlformats.org/officeDocument/2006/relationships/header" Target="header3.xml"/><Relationship Id="rId3" Type="http://schemas.openxmlformats.org/officeDocument/2006/relationships/customXml" Target="../customXml/item3.xml"/><Relationship Id="rId25" Type="http://schemas.openxmlformats.org/officeDocument/2006/relationships/hyperlink" Target="file://file-5gh5LKH5NZTPngpnMXdn1k" TargetMode="External"/><Relationship Id="rId46" Type="http://schemas.openxmlformats.org/officeDocument/2006/relationships/hyperlink" Target="file://file-5gh5LKH5NZTPngpnMXdn1k" TargetMode="External"/><Relationship Id="rId67" Type="http://schemas.openxmlformats.org/officeDocument/2006/relationships/hyperlink" Target="file://file-5gh5LKH5NZTPngpnMXdn1k" TargetMode="External"/><Relationship Id="rId116" Type="http://schemas.openxmlformats.org/officeDocument/2006/relationships/hyperlink" Target="file://file-5gh5LKH5NZTPngpnMXdn1k" TargetMode="External"/><Relationship Id="rId137" Type="http://schemas.openxmlformats.org/officeDocument/2006/relationships/hyperlink" Target="file://file-5gh5LKH5NZTPngpnMXdn1k" TargetMode="External"/><Relationship Id="rId158" Type="http://schemas.openxmlformats.org/officeDocument/2006/relationships/hyperlink" Target="file://file-5gh5LKH5NZTPngpnMXdn1k" TargetMode="External"/><Relationship Id="rId20" Type="http://schemas.openxmlformats.org/officeDocument/2006/relationships/hyperlink" Target="file://file-5gh5LKH5NZTPngpnMXdn1k" TargetMode="External"/><Relationship Id="rId41" Type="http://schemas.openxmlformats.org/officeDocument/2006/relationships/hyperlink" Target="file://file-5gh5LKH5NZTPngpnMXdn1k" TargetMode="External"/><Relationship Id="rId62" Type="http://schemas.openxmlformats.org/officeDocument/2006/relationships/hyperlink" Target="file://file-5gh5LKH5NZTPngpnMXdn1k" TargetMode="External"/><Relationship Id="rId83" Type="http://schemas.openxmlformats.org/officeDocument/2006/relationships/hyperlink" Target="file://file-5gh5LKH5NZTPngpnMXdn1k" TargetMode="External"/><Relationship Id="rId88" Type="http://schemas.openxmlformats.org/officeDocument/2006/relationships/hyperlink" Target="file://file-5gh5LKH5NZTPngpnMXdn1k" TargetMode="External"/><Relationship Id="rId111" Type="http://schemas.openxmlformats.org/officeDocument/2006/relationships/hyperlink" Target="file://file-5gh5LKH5NZTPngpnMXdn1k" TargetMode="External"/><Relationship Id="rId132" Type="http://schemas.openxmlformats.org/officeDocument/2006/relationships/hyperlink" Target="file://file-5gh5LKH5NZTPngpnMXdn1k" TargetMode="External"/><Relationship Id="rId153" Type="http://schemas.openxmlformats.org/officeDocument/2006/relationships/hyperlink" Target="file://file-5gh5LKH5NZTPngpnMXdn1k" TargetMode="External"/><Relationship Id="rId174" Type="http://schemas.openxmlformats.org/officeDocument/2006/relationships/hyperlink" Target="https://doganhub-my.sharepoint.com/personal/ahmet_dogan_doganhub_com/_layouts/15/Doc.aspx?sourcedoc=%7BD3E8EB13-7CBA-4192-ACE1-52F167B4A7BE%7D&amp;file=Strategic%20Roadmap%20for%20Launching%20a%20Saudi%20System%20Integrator%20%E2%80%93%20Initial%20Offering%20%26%20Business%20Case.docx&amp;action=default&amp;mobileredirect=true" TargetMode="External"/><Relationship Id="rId179" Type="http://schemas.openxmlformats.org/officeDocument/2006/relationships/hyperlink" Target="https://doganhub-my.sharepoint.com/personal/ahmet_dogan_doganhub_com/_layouts/15/Doc.aspx?sourcedoc=%7BD3E8EB13-7CBA-4192-ACE1-52F167B4A7BE%7D&amp;file=Strategic%20Roadmap%20for%20Launching%20a%20Saudi%20System%20Integrator%20%E2%80%93%20Initial%20Offering%20%26%20Business%20Case.docx&amp;action=default&amp;mobileredirect=true" TargetMode="External"/><Relationship Id="rId190" Type="http://schemas.openxmlformats.org/officeDocument/2006/relationships/footer" Target="footer3.xml"/><Relationship Id="rId15" Type="http://schemas.openxmlformats.org/officeDocument/2006/relationships/hyperlink" Target="file://file-5gh5LKH5NZTPngpnMXdn1k" TargetMode="External"/><Relationship Id="rId36" Type="http://schemas.openxmlformats.org/officeDocument/2006/relationships/hyperlink" Target="file://file-5gh5LKH5NZTPngpnMXdn1k" TargetMode="External"/><Relationship Id="rId57" Type="http://schemas.openxmlformats.org/officeDocument/2006/relationships/hyperlink" Target="file://file-5gh5LKH5NZTPngpnMXdn1k" TargetMode="External"/><Relationship Id="rId106" Type="http://schemas.openxmlformats.org/officeDocument/2006/relationships/hyperlink" Target="file://file-5gh5LKH5NZTPngpnMXdn1k" TargetMode="External"/><Relationship Id="rId127" Type="http://schemas.openxmlformats.org/officeDocument/2006/relationships/hyperlink" Target="file://file-5gh5LKH5NZTPngpnMXdn1k" TargetMode="External"/><Relationship Id="rId10" Type="http://schemas.openxmlformats.org/officeDocument/2006/relationships/hyperlink" Target="file://file-5gh5LKH5NZTPngpnMXdn1k" TargetMode="External"/><Relationship Id="rId31" Type="http://schemas.openxmlformats.org/officeDocument/2006/relationships/hyperlink" Target="file://file-5gh5LKH5NZTPngpnMXdn1k" TargetMode="External"/><Relationship Id="rId52" Type="http://schemas.openxmlformats.org/officeDocument/2006/relationships/hyperlink" Target="file://file-5gh5LKH5NZTPngpnMXdn1k" TargetMode="External"/><Relationship Id="rId73" Type="http://schemas.openxmlformats.org/officeDocument/2006/relationships/hyperlink" Target="file://file-5gh5LKH5NZTPngpnMXdn1k" TargetMode="External"/><Relationship Id="rId78" Type="http://schemas.openxmlformats.org/officeDocument/2006/relationships/hyperlink" Target="file://file-5gh5LKH5NZTPngpnMXdn1k" TargetMode="External"/><Relationship Id="rId94" Type="http://schemas.openxmlformats.org/officeDocument/2006/relationships/hyperlink" Target="file://file-5gh5LKH5NZTPngpnMXdn1k" TargetMode="External"/><Relationship Id="rId99" Type="http://schemas.openxmlformats.org/officeDocument/2006/relationships/hyperlink" Target="file://file-5gh5LKH5NZTPngpnMXdn1k" TargetMode="External"/><Relationship Id="rId101" Type="http://schemas.openxmlformats.org/officeDocument/2006/relationships/hyperlink" Target="file://file-5gh5LKH5NZTPngpnMXdn1k" TargetMode="External"/><Relationship Id="rId122" Type="http://schemas.openxmlformats.org/officeDocument/2006/relationships/hyperlink" Target="file://file-5gh5LKH5NZTPngpnMXdn1k" TargetMode="External"/><Relationship Id="rId143" Type="http://schemas.openxmlformats.org/officeDocument/2006/relationships/hyperlink" Target="file://file-5gh5LKH5NZTPngpnMXdn1k" TargetMode="External"/><Relationship Id="rId148" Type="http://schemas.openxmlformats.org/officeDocument/2006/relationships/hyperlink" Target="file://file-5gh5LKH5NZTPngpnMXdn1k" TargetMode="External"/><Relationship Id="rId164" Type="http://schemas.openxmlformats.org/officeDocument/2006/relationships/hyperlink" Target="https://www.imarcgroup.com/saudi-arabia-governance-risk-compliance-platform-market" TargetMode="External"/><Relationship Id="rId169" Type="http://schemas.openxmlformats.org/officeDocument/2006/relationships/hyperlink" Target="https://www.micromindercs.com/blog/data-protection-compliance-in-saudi-arabia" TargetMode="External"/><Relationship Id="rId185"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80" Type="http://schemas.openxmlformats.org/officeDocument/2006/relationships/hyperlink" Target="https://doganhub-my.sharepoint.com/personal/ahmet_dogan_doganhub_com/_layouts/15/Doc.aspx?sourcedoc=%7BD3E8EB13-7CBA-4192-ACE1-52F167B4A7BE%7D&amp;file=Strategic%20Roadmap%20for%20Launching%20a%20Saudi%20System%20Integrator%20%E2%80%93%20Initial%20Offering%20%26%20Business%20Case.docx&amp;action=default&amp;mobileredirect=true" TargetMode="External"/><Relationship Id="rId26" Type="http://schemas.openxmlformats.org/officeDocument/2006/relationships/hyperlink" Target="file://file-5gh5LKH5NZTPngpnMXdn1k" TargetMode="External"/><Relationship Id="rId47" Type="http://schemas.openxmlformats.org/officeDocument/2006/relationships/hyperlink" Target="https://www.imarcgroup.com/saudi-arabia-governance-risk-compliance-platform-market" TargetMode="External"/><Relationship Id="rId68" Type="http://schemas.openxmlformats.org/officeDocument/2006/relationships/hyperlink" Target="file://file-5gh5LKH5NZTPngpnMXdn1k" TargetMode="External"/><Relationship Id="rId89" Type="http://schemas.openxmlformats.org/officeDocument/2006/relationships/hyperlink" Target="file://file-5gh5LKH5NZTPngpnMXdn1k" TargetMode="External"/><Relationship Id="rId112" Type="http://schemas.openxmlformats.org/officeDocument/2006/relationships/hyperlink" Target="file://file-5gh5LKH5NZTPngpnMXdn1k" TargetMode="External"/><Relationship Id="rId133" Type="http://schemas.openxmlformats.org/officeDocument/2006/relationships/hyperlink" Target="file://file-5gh5LKH5NZTPngpnMXdn1k" TargetMode="External"/><Relationship Id="rId154" Type="http://schemas.openxmlformats.org/officeDocument/2006/relationships/hyperlink" Target="file://file-5gh5LKH5NZTPngpnMXdn1k" TargetMode="External"/><Relationship Id="rId175" Type="http://schemas.openxmlformats.org/officeDocument/2006/relationships/hyperlink" Target="https://doganhub-my.sharepoint.com/personal/ahmet_dogan_doganhub_com/_layouts/15/Doc.aspx?sourcedoc=%7BD3E8EB13-7CBA-4192-ACE1-52F167B4A7BE%7D&amp;file=Strategic%20Roadmap%20for%20Launching%20a%20Saudi%20System%20Integrator%20%E2%80%93%20Initial%20Offering%20%26%20Business%20Case.docx&amp;action=default&amp;mobileredirect=true" TargetMode="External"/><Relationship Id="rId16" Type="http://schemas.openxmlformats.org/officeDocument/2006/relationships/hyperlink" Target="file://file-5gh5LKH5NZTPngpnMXdn1k" TargetMode="External"/><Relationship Id="rId37" Type="http://schemas.openxmlformats.org/officeDocument/2006/relationships/hyperlink" Target="file://file-5gh5LKH5NZTPngpnMXdn1k" TargetMode="External"/><Relationship Id="rId58" Type="http://schemas.openxmlformats.org/officeDocument/2006/relationships/hyperlink" Target="file://file-5gh5LKH5NZTPngpnMXdn1k" TargetMode="External"/><Relationship Id="rId79" Type="http://schemas.openxmlformats.org/officeDocument/2006/relationships/hyperlink" Target="file://file-5gh5LKH5NZTPngpnMXdn1k" TargetMode="External"/><Relationship Id="rId102" Type="http://schemas.openxmlformats.org/officeDocument/2006/relationships/hyperlink" Target="file://file-5gh5LKH5NZTPngpnMXdn1k" TargetMode="External"/><Relationship Id="rId123" Type="http://schemas.openxmlformats.org/officeDocument/2006/relationships/hyperlink" Target="file://file-5gh5LKH5NZTPngpnMXdn1k" TargetMode="External"/><Relationship Id="rId144" Type="http://schemas.openxmlformats.org/officeDocument/2006/relationships/hyperlink" Target="file://file-5gh5LKH5NZTPngpnMXdn1k" TargetMode="External"/><Relationship Id="rId90" Type="http://schemas.openxmlformats.org/officeDocument/2006/relationships/hyperlink" Target="file://file-5gh5LKH5NZTPngpnMXdn1k" TargetMode="External"/><Relationship Id="rId165" Type="http://schemas.openxmlformats.org/officeDocument/2006/relationships/hyperlink" Target="https://www.imarcgroup.com/saudi-arabia-governance-risk-compliance-platform-market" TargetMode="External"/><Relationship Id="rId186" Type="http://schemas.openxmlformats.org/officeDocument/2006/relationships/header" Target="header2.xml"/><Relationship Id="rId27" Type="http://schemas.openxmlformats.org/officeDocument/2006/relationships/hyperlink" Target="file://file-5gh5LKH5NZTPngpnMXdn1k" TargetMode="External"/><Relationship Id="rId48" Type="http://schemas.openxmlformats.org/officeDocument/2006/relationships/hyperlink" Target="https://www.imarcgroup.com/saudi-arabia-governance-risk-compliance-platform-market" TargetMode="External"/><Relationship Id="rId69" Type="http://schemas.openxmlformats.org/officeDocument/2006/relationships/hyperlink" Target="file://file-5gh5LKH5NZTPngpnMXdn1k" TargetMode="External"/><Relationship Id="rId113" Type="http://schemas.openxmlformats.org/officeDocument/2006/relationships/hyperlink" Target="file://file-5gh5LKH5NZTPngpnMXdn1k" TargetMode="External"/><Relationship Id="rId134" Type="http://schemas.openxmlformats.org/officeDocument/2006/relationships/hyperlink" Target="file://file-5gh5LKH5NZTPngpnMXdn1k" TargetMode="External"/><Relationship Id="rId80" Type="http://schemas.openxmlformats.org/officeDocument/2006/relationships/hyperlink" Target="file://file-5gh5LKH5NZTPngpnMXdn1k" TargetMode="External"/><Relationship Id="rId155" Type="http://schemas.openxmlformats.org/officeDocument/2006/relationships/hyperlink" Target="file://file-5gh5LKH5NZTPngpnMXdn1k" TargetMode="External"/><Relationship Id="rId176" Type="http://schemas.openxmlformats.org/officeDocument/2006/relationships/hyperlink" Target="https://doganhub-my.sharepoint.com/personal/ahmet_dogan_doganhub_com/_layouts/15/Doc.aspx?sourcedoc=%7BD3E8EB13-7CBA-4192-ACE1-52F167B4A7BE%7D&amp;file=Strategic%20Roadmap%20for%20Launching%20a%20Saudi%20System%20Integrator%20%E2%80%93%20Initial%20Offering%20%26%20Business%20Case.docx&amp;action=default&amp;mobileredirect=true" TargetMode="External"/><Relationship Id="rId17" Type="http://schemas.openxmlformats.org/officeDocument/2006/relationships/hyperlink" Target="file://file-5gh5LKH5NZTPngpnMXdn1k" TargetMode="External"/><Relationship Id="rId38" Type="http://schemas.openxmlformats.org/officeDocument/2006/relationships/hyperlink" Target="file://file-5gh5LKH5NZTPngpnMXdn1k" TargetMode="External"/><Relationship Id="rId59" Type="http://schemas.openxmlformats.org/officeDocument/2006/relationships/hyperlink" Target="file://file-5gh5LKH5NZTPngpnMXdn1k" TargetMode="External"/><Relationship Id="rId103" Type="http://schemas.openxmlformats.org/officeDocument/2006/relationships/hyperlink" Target="file://file-5gh5LKH5NZTPngpnMXdn1k" TargetMode="External"/><Relationship Id="rId124" Type="http://schemas.openxmlformats.org/officeDocument/2006/relationships/hyperlink" Target="file://file-5gh5LKH5NZTPngpnMXdn1k" TargetMode="External"/><Relationship Id="rId70" Type="http://schemas.openxmlformats.org/officeDocument/2006/relationships/hyperlink" Target="file://file-5gh5LKH5NZTPngpnMXdn1k" TargetMode="External"/><Relationship Id="rId91" Type="http://schemas.openxmlformats.org/officeDocument/2006/relationships/hyperlink" Target="file://file-5gh5LKH5NZTPngpnMXdn1k" TargetMode="External"/><Relationship Id="rId145" Type="http://schemas.openxmlformats.org/officeDocument/2006/relationships/hyperlink" Target="file://file-5gh5LKH5NZTPngpnMXdn1k" TargetMode="External"/><Relationship Id="rId166" Type="http://schemas.openxmlformats.org/officeDocument/2006/relationships/hyperlink" Target="https://www.imarcgroup.com/saudi-arabia-governance-risk-compliance-platform-market" TargetMode="External"/><Relationship Id="rId187" Type="http://schemas.openxmlformats.org/officeDocument/2006/relationships/footer" Target="footer1.xml"/><Relationship Id="rId1" Type="http://schemas.openxmlformats.org/officeDocument/2006/relationships/customXml" Target="../customXml/item1.xml"/><Relationship Id="rId28" Type="http://schemas.openxmlformats.org/officeDocument/2006/relationships/hyperlink" Target="file://file-5gh5LKH5NZTPngpnMXdn1k" TargetMode="External"/><Relationship Id="rId49" Type="http://schemas.openxmlformats.org/officeDocument/2006/relationships/hyperlink" Target="https://www.imarcgroup.com/saudi-arabia-governance-risk-compliance-platform-market" TargetMode="External"/><Relationship Id="rId114" Type="http://schemas.openxmlformats.org/officeDocument/2006/relationships/hyperlink" Target="file://file-5gh5LKH5NZTPngpnMXdn1k" TargetMode="External"/><Relationship Id="rId60" Type="http://schemas.openxmlformats.org/officeDocument/2006/relationships/hyperlink" Target="file://file-5gh5LKH5NZTPngpnMXdn1k" TargetMode="External"/><Relationship Id="rId81" Type="http://schemas.openxmlformats.org/officeDocument/2006/relationships/hyperlink" Target="file://file-5gh5LKH5NZTPngpnMXdn1k" TargetMode="External"/><Relationship Id="rId135" Type="http://schemas.openxmlformats.org/officeDocument/2006/relationships/hyperlink" Target="file://file-5gh5LKH5NZTPngpnMXdn1k" TargetMode="External"/><Relationship Id="rId156" Type="http://schemas.openxmlformats.org/officeDocument/2006/relationships/hyperlink" Target="file://file-5gh5LKH5NZTPngpnMXdn1k" TargetMode="External"/><Relationship Id="rId177" Type="http://schemas.openxmlformats.org/officeDocument/2006/relationships/hyperlink" Target="https://doganhub-my.sharepoint.com/personal/ahmet_dogan_doganhub_com/_layouts/15/Doc.aspx?sourcedoc=%7BD3E8EB13-7CBA-4192-ACE1-52F167B4A7BE%7D&amp;file=Strategic%20Roadmap%20for%20Launching%20a%20Saudi%20System%20Integrator%20%E2%80%93%20Initial%20Offering%20%26%20Business%20Case.docx&amp;action=default&amp;mobileredirect=true" TargetMode="External"/><Relationship Id="rId18" Type="http://schemas.openxmlformats.org/officeDocument/2006/relationships/hyperlink" Target="file://file-5gh5LKH5NZTPngpnMXdn1k" TargetMode="External"/><Relationship Id="rId39" Type="http://schemas.openxmlformats.org/officeDocument/2006/relationships/hyperlink" Target="file://file-5gh5LKH5NZTPngpnMXdn1k"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56EC7818C834C3BAF561BF54F5B6B30"/>
        <w:category>
          <w:name w:val="General"/>
          <w:gallery w:val="placeholder"/>
        </w:category>
        <w:types>
          <w:type w:val="bbPlcHdr"/>
        </w:types>
        <w:behaviors>
          <w:behavior w:val="content"/>
        </w:behaviors>
        <w:guid w:val="{E913744D-55AB-4C43-B1AB-5C794D2C9D8A}"/>
      </w:docPartPr>
      <w:docPartBody>
        <w:p w:rsidR="00862BD0" w:rsidRDefault="00862BD0">
          <w:r w:rsidRPr="001A6C40">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BD0"/>
    <w:rsid w:val="00862BD0"/>
    <w:rsid w:val="009338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BD0"/>
    <w:rPr>
      <w:rFonts w:cs="Times New Roman"/>
      <w:sz w:val="3276"/>
      <w:szCs w:val="3276"/>
    </w:rPr>
  </w:style>
  <w:style w:type="character" w:default="1" w:styleId="DefaultParagraphFont">
    <w:name w:val="Default Paragraph Font"/>
    <w:uiPriority w:val="1"/>
    <w:semiHidden/>
    <w:unhideWhenUsed/>
    <w:rsid w:val="00862BD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2BD0"/>
    <w:rPr>
      <w:color w:val="666666"/>
    </w:rPr>
  </w:style>
  <w:style w:type="paragraph" w:customStyle="1" w:styleId="F33358FEF867421486E3ABE216280661">
    <w:name w:val="F33358FEF867421486E3ABE216280661"/>
    <w:rsid w:val="00862B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0C7D5324E8D7C4F85D7700AB1AACE7B" ma:contentTypeVersion="11" ma:contentTypeDescription="Create a new document." ma:contentTypeScope="" ma:versionID="5f9d846a05776e462a831276f8234a52">
  <xsd:schema xmlns:xsd="http://www.w3.org/2001/XMLSchema" xmlns:xs="http://www.w3.org/2001/XMLSchema" xmlns:p="http://schemas.microsoft.com/office/2006/metadata/properties" xmlns:ns3="bffddde5-3c76-4879-b568-7dd0fcdf9169" targetNamespace="http://schemas.microsoft.com/office/2006/metadata/properties" ma:root="true" ma:fieldsID="6a134c537cd27971c5604a677177d47e" ns3:_="">
    <xsd:import namespace="bffddde5-3c76-4879-b568-7dd0fcdf9169"/>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SystemTags" minOccurs="0"/>
                <xsd:element ref="ns3:MediaServiceOCR" minOccurs="0"/>
                <xsd:element ref="ns3:MediaServiceGenerationTime" minOccurs="0"/>
                <xsd:element ref="ns3:MediaServiceEventHashCode" minOccurs="0"/>
                <xsd:element ref="ns3:_activity"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fddde5-3c76-4879-b568-7dd0fcdf9169"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SystemTags" ma:index="12" nillable="true" ma:displayName="MediaServiceSystemTags" ma:hidden="true" ma:internalName="MediaServiceSystemTags"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descrip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bffddde5-3c76-4879-b568-7dd0fcdf9169" xsi:nil="true"/>
  </documentManagement>
</p:properties>
</file>

<file path=customXml/itemProps1.xml><?xml version="1.0" encoding="utf-8"?>
<ds:datastoreItem xmlns:ds="http://schemas.openxmlformats.org/officeDocument/2006/customXml" ds:itemID="{EBFA9136-AC8D-44C3-8B3D-594FA9E958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fddde5-3c76-4879-b568-7dd0fcdf91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BA2BA2-B3DF-40A5-864B-0E6DC8851A23}">
  <ds:schemaRefs>
    <ds:schemaRef ds:uri="http://schemas.microsoft.com/sharepoint/v3/contenttype/forms"/>
  </ds:schemaRefs>
</ds:datastoreItem>
</file>

<file path=customXml/itemProps3.xml><?xml version="1.0" encoding="utf-8"?>
<ds:datastoreItem xmlns:ds="http://schemas.openxmlformats.org/officeDocument/2006/customXml" ds:itemID="{13CD80B6-225E-43C1-AB31-C96AEBF775AE}">
  <ds:schemaRefs>
    <ds:schemaRef ds:uri="http://purl.org/dc/terms/"/>
    <ds:schemaRef ds:uri="http://schemas.microsoft.com/office/2006/documentManagement/types"/>
    <ds:schemaRef ds:uri="http://purl.org/dc/elements/1.1/"/>
    <ds:schemaRef ds:uri="http://www.w3.org/XML/1998/namespace"/>
    <ds:schemaRef ds:uri="http://schemas.openxmlformats.org/package/2006/metadata/core-properties"/>
    <ds:schemaRef ds:uri="http://schemas.microsoft.com/office/2006/metadata/properties"/>
    <ds:schemaRef ds:uri="http://schemas.microsoft.com/office/infopath/2007/PartnerControls"/>
    <ds:schemaRef ds:uri="bffddde5-3c76-4879-b568-7dd0fcdf9169"/>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21</Pages>
  <Words>12807</Words>
  <Characters>73003</Characters>
  <Application>Microsoft Office Word</Application>
  <DocSecurity>0</DocSecurity>
  <Lines>608</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Dogan</dc:creator>
  <cp:keywords/>
  <dc:description/>
  <cp:lastModifiedBy>Ahmet Dogan</cp:lastModifiedBy>
  <cp:revision>1</cp:revision>
  <cp:lastPrinted>2025-08-27T06:17:00Z</cp:lastPrinted>
  <dcterms:created xsi:type="dcterms:W3CDTF">2025-08-27T06:07:00Z</dcterms:created>
  <dcterms:modified xsi:type="dcterms:W3CDTF">2025-08-27T06:41:00Z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0x01010020C7D5324E8D7C4F85D7700AB1AACE7B</vt:lpwstr>
  </property>
</Properties>
</file>