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10" w:rsidRPr="00E00610" w:rsidRDefault="00E00610" w:rsidP="00B3614F">
      <w:pPr>
        <w:tabs>
          <w:tab w:val="left" w:pos="9356"/>
        </w:tabs>
        <w:ind w:right="-874"/>
        <w:rPr>
          <w:b/>
          <w:sz w:val="32"/>
          <w:szCs w:val="32"/>
        </w:rPr>
      </w:pPr>
      <w:r w:rsidRPr="00E00610">
        <w:rPr>
          <w:b/>
          <w:sz w:val="32"/>
          <w:szCs w:val="32"/>
        </w:rPr>
        <w:t>Bài soạn</w:t>
      </w:r>
      <w:r w:rsidR="00B3614F">
        <w:rPr>
          <w:b/>
          <w:sz w:val="32"/>
          <w:szCs w:val="32"/>
        </w:rPr>
        <w:t xml:space="preserve"> Clean code vs Dirty code</w:t>
      </w:r>
      <w:bookmarkStart w:id="0" w:name="_GoBack"/>
      <w:bookmarkEnd w:id="0"/>
      <w:r w:rsidR="0097763B">
        <w:rPr>
          <w:b/>
          <w:sz w:val="32"/>
          <w:szCs w:val="32"/>
        </w:rPr>
        <w:t xml:space="preserve"> </w:t>
      </w:r>
      <w:r>
        <w:rPr>
          <w:b/>
          <w:sz w:val="32"/>
          <w:szCs w:val="32"/>
        </w:rPr>
        <w:t>-</w:t>
      </w:r>
      <w:r w:rsidRPr="00E00610">
        <w:rPr>
          <w:b/>
          <w:sz w:val="32"/>
          <w:szCs w:val="32"/>
        </w:rPr>
        <w:t xml:space="preserve"> </w:t>
      </w:r>
      <w:r w:rsidRPr="00E00610">
        <w:rPr>
          <w:b/>
          <w:i/>
          <w:sz w:val="32"/>
          <w:szCs w:val="32"/>
        </w:rPr>
        <w:t>Đỗ Văn Hoàng CGHN C0624G1</w:t>
      </w:r>
    </w:p>
    <w:tbl>
      <w:tblPr>
        <w:tblStyle w:val="TableGrid"/>
        <w:tblW w:w="11619" w:type="dxa"/>
        <w:tblLook w:val="04A0" w:firstRow="1" w:lastRow="0" w:firstColumn="1" w:lastColumn="0" w:noHBand="0" w:noVBand="1"/>
      </w:tblPr>
      <w:tblGrid>
        <w:gridCol w:w="1154"/>
        <w:gridCol w:w="10465"/>
      </w:tblGrid>
      <w:tr w:rsidR="00E00610" w:rsidTr="00B3614F">
        <w:tc>
          <w:tcPr>
            <w:tcW w:w="1271" w:type="dxa"/>
          </w:tcPr>
          <w:p w:rsidR="00E00610" w:rsidRDefault="00E00610" w:rsidP="00E00610">
            <w:pPr>
              <w:jc w:val="center"/>
            </w:pPr>
            <w:r>
              <w:t>Từ khóa</w:t>
            </w:r>
          </w:p>
        </w:tc>
        <w:tc>
          <w:tcPr>
            <w:tcW w:w="10348" w:type="dxa"/>
          </w:tcPr>
          <w:p w:rsidR="00E00610" w:rsidRDefault="00E00610" w:rsidP="00E00610">
            <w:pPr>
              <w:jc w:val="center"/>
            </w:pPr>
            <w:r>
              <w:t>Ghi chú</w:t>
            </w:r>
          </w:p>
        </w:tc>
      </w:tr>
      <w:tr w:rsidR="00E00610" w:rsidTr="00B3614F">
        <w:tc>
          <w:tcPr>
            <w:tcW w:w="1271" w:type="dxa"/>
          </w:tcPr>
          <w:p w:rsidR="00E00610" w:rsidRDefault="00E00610"/>
          <w:p w:rsidR="00C032D0" w:rsidRDefault="00C032D0" w:rsidP="00C032D0"/>
          <w:p w:rsidR="000842ED" w:rsidRDefault="000842ED" w:rsidP="000842ED"/>
        </w:tc>
        <w:tc>
          <w:tcPr>
            <w:tcW w:w="10348" w:type="dxa"/>
          </w:tcPr>
          <w:p w:rsidR="0009515C" w:rsidRDefault="0009515C" w:rsidP="0009515C">
            <w:pPr>
              <w:spacing w:before="100" w:beforeAutospacing="1" w:after="100" w:afterAutospacing="1"/>
            </w:pPr>
          </w:p>
          <w:tbl>
            <w:tblPr>
              <w:tblStyle w:val="TableGrid"/>
              <w:tblW w:w="10239" w:type="dxa"/>
              <w:tblLook w:val="04A0" w:firstRow="1" w:lastRow="0" w:firstColumn="1" w:lastColumn="0" w:noHBand="0" w:noVBand="1"/>
            </w:tblPr>
            <w:tblGrid>
              <w:gridCol w:w="1136"/>
              <w:gridCol w:w="4533"/>
              <w:gridCol w:w="4570"/>
            </w:tblGrid>
            <w:tr w:rsidR="0009515C" w:rsidTr="00B3614F">
              <w:tc>
                <w:tcPr>
                  <w:tcW w:w="1136" w:type="dxa"/>
                </w:tcPr>
                <w:p w:rsidR="0009515C" w:rsidRPr="00B3614F" w:rsidRDefault="0009515C" w:rsidP="00B3614F">
                  <w:pPr>
                    <w:spacing w:before="100" w:beforeAutospacing="1" w:after="100" w:afterAutospacing="1"/>
                    <w:jc w:val="center"/>
                    <w:rPr>
                      <w:i/>
                    </w:rPr>
                  </w:pPr>
                  <w:r w:rsidRPr="00B3614F">
                    <w:rPr>
                      <w:i/>
                    </w:rPr>
                    <w:t>Tiêu chí</w:t>
                  </w:r>
                </w:p>
              </w:tc>
              <w:tc>
                <w:tcPr>
                  <w:tcW w:w="4533" w:type="dxa"/>
                </w:tcPr>
                <w:p w:rsidR="0009515C" w:rsidRDefault="0009515C" w:rsidP="0009515C">
                  <w:pPr>
                    <w:spacing w:before="100" w:beforeAutospacing="1" w:after="100" w:afterAutospacing="1"/>
                    <w:jc w:val="center"/>
                  </w:pPr>
                  <w:r>
                    <w:t>Clean code</w:t>
                  </w:r>
                </w:p>
              </w:tc>
              <w:tc>
                <w:tcPr>
                  <w:tcW w:w="4570" w:type="dxa"/>
                </w:tcPr>
                <w:p w:rsidR="0009515C" w:rsidRDefault="0009515C" w:rsidP="0009515C">
                  <w:pPr>
                    <w:spacing w:before="100" w:beforeAutospacing="1" w:after="100" w:afterAutospacing="1"/>
                    <w:jc w:val="center"/>
                  </w:pPr>
                  <w:r>
                    <w:t>Dirty code</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t>Độ rõ ràng và dễ hiểu</w:t>
                  </w:r>
                </w:p>
              </w:tc>
              <w:tc>
                <w:tcPr>
                  <w:tcW w:w="4533" w:type="dxa"/>
                </w:tcPr>
                <w:p w:rsidR="0009515C" w:rsidRDefault="0009515C" w:rsidP="0009515C">
                  <w:pPr>
                    <w:spacing w:before="100" w:beforeAutospacing="1" w:after="100" w:afterAutospacing="1"/>
                  </w:pPr>
                  <w:r>
                    <w:t>Mã được viết rõ ràng, dễ đọc và dễ hiểu. Các biến, hàm và lớp đều được đặt tên rõ nghĩa và mô tả chính xác chức năng của chúng.</w:t>
                  </w:r>
                </w:p>
              </w:tc>
              <w:tc>
                <w:tcPr>
                  <w:tcW w:w="4570" w:type="dxa"/>
                </w:tcPr>
                <w:p w:rsidR="0009515C" w:rsidRDefault="00B3614F" w:rsidP="0009515C">
                  <w:pPr>
                    <w:spacing w:before="100" w:beforeAutospacing="1" w:after="100" w:afterAutospacing="1"/>
                  </w:pPr>
                  <w:r>
                    <w:t>Mã thường khó đọc và khó hiểu. Các biến, hàm và lớp có thể được đặt tên không rõ ràng hoặc không có ý nghĩa, gây khó khăn trong việc hiểu chức năng của mã.</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t>Cấu trúc và tổ chức</w:t>
                  </w:r>
                </w:p>
              </w:tc>
              <w:tc>
                <w:tcPr>
                  <w:tcW w:w="4533" w:type="dxa"/>
                </w:tcPr>
                <w:p w:rsidR="0009515C" w:rsidRDefault="0009515C" w:rsidP="0009515C">
                  <w:pPr>
                    <w:spacing w:before="100" w:beforeAutospacing="1" w:after="100" w:afterAutospacing="1"/>
                  </w:pPr>
                  <w:r>
                    <w:t>Mã được tổ chức tốt với cấu trúc hợp lý. Các phương thức và lớp được chia nhỏ theo chức năng, tuân theo các nguyên tắc thiết kế</w:t>
                  </w:r>
                  <w:r>
                    <w:t>.</w:t>
                  </w:r>
                </w:p>
              </w:tc>
              <w:tc>
                <w:tcPr>
                  <w:tcW w:w="4570" w:type="dxa"/>
                </w:tcPr>
                <w:p w:rsidR="0009515C" w:rsidRDefault="00B3614F" w:rsidP="0009515C">
                  <w:pPr>
                    <w:spacing w:before="100" w:beforeAutospacing="1" w:after="100" w:afterAutospacing="1"/>
                  </w:pPr>
                  <w:r>
                    <w:t>Mã thiếu cấu trúc và tổ chức, các phương thức và lớp thường dài và phức tạp, thực hiện nhiều chức năng, vi phạm các nguyên tắc thiết kế.</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t>Khả năng mở rộng và bảo trì</w:t>
                  </w:r>
                </w:p>
              </w:tc>
              <w:tc>
                <w:tcPr>
                  <w:tcW w:w="4533" w:type="dxa"/>
                </w:tcPr>
                <w:p w:rsidR="0009515C" w:rsidRDefault="0009515C" w:rsidP="0009515C">
                  <w:pPr>
                    <w:spacing w:before="100" w:beforeAutospacing="1" w:after="100" w:afterAutospacing="1"/>
                  </w:pPr>
                  <w:r>
                    <w:t>Dễ dàng mở rộng và bảo trì. Mã được thiết kế để có thể thêm các tính năng mới hoặc sửa đổi một cách dễ dàng mà không ảnh hưởng đến các phần khác của mã.</w:t>
                  </w:r>
                </w:p>
              </w:tc>
              <w:tc>
                <w:tcPr>
                  <w:tcW w:w="4570" w:type="dxa"/>
                </w:tcPr>
                <w:p w:rsidR="0009515C" w:rsidRDefault="00B3614F" w:rsidP="0009515C">
                  <w:pPr>
                    <w:spacing w:before="100" w:beforeAutospacing="1" w:after="100" w:afterAutospacing="1"/>
                  </w:pPr>
                  <w:r>
                    <w:t>Khó mở rộng và bảo trì. Việc thêm tính năng mới hoặc sửa đổi mã có thể làm phát sinh nhiều lỗi và ảnh hưởng đến các phần khác của mã.</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t>Trùng lặp mã</w:t>
                  </w:r>
                </w:p>
              </w:tc>
              <w:tc>
                <w:tcPr>
                  <w:tcW w:w="4533" w:type="dxa"/>
                </w:tcPr>
                <w:p w:rsidR="0009515C" w:rsidRDefault="0009515C" w:rsidP="0009515C">
                  <w:pPr>
                    <w:spacing w:before="100" w:beforeAutospacing="1" w:after="100" w:afterAutospacing="1"/>
                  </w:pPr>
                  <w:r>
                    <w:t>Tránh sự trùng lặp mã. Các đoạn mã giống nhau được trích xuất ra thành các phương thức hoặc lớp chung để tái sử dụng.</w:t>
                  </w:r>
                </w:p>
              </w:tc>
              <w:tc>
                <w:tcPr>
                  <w:tcW w:w="4570" w:type="dxa"/>
                </w:tcPr>
                <w:p w:rsidR="0009515C" w:rsidRDefault="00B3614F" w:rsidP="0009515C">
                  <w:pPr>
                    <w:spacing w:before="100" w:beforeAutospacing="1" w:after="100" w:afterAutospacing="1"/>
                  </w:pPr>
                  <w:r>
                    <w:t>Có nhiều mã trùng lặp, các đoạn mã giống nhau xuất hiện ở nhiều nơi trong chương trình, làm tăng độ phức tạp và khó khăn trong việc duy trì.</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t>Sử dụng giá trị "magic"</w:t>
                  </w:r>
                </w:p>
              </w:tc>
              <w:tc>
                <w:tcPr>
                  <w:tcW w:w="4533" w:type="dxa"/>
                </w:tcPr>
                <w:p w:rsidR="0009515C" w:rsidRDefault="0009515C" w:rsidP="0009515C">
                  <w:pPr>
                    <w:spacing w:before="100" w:beforeAutospacing="1" w:after="100" w:afterAutospacing="1"/>
                  </w:pPr>
                  <w:r>
                    <w:t>Tránh sử dụng các giá trị "magic". Sử dụng các biến hằng số hoặc cấu trúc dữ liệu có ý nghĩa để thay thế.</w:t>
                  </w:r>
                </w:p>
              </w:tc>
              <w:tc>
                <w:tcPr>
                  <w:tcW w:w="4570" w:type="dxa"/>
                </w:tcPr>
                <w:p w:rsidR="0009515C" w:rsidRDefault="00B3614F" w:rsidP="0009515C">
                  <w:pPr>
                    <w:spacing w:before="100" w:beforeAutospacing="1" w:after="100" w:afterAutospacing="1"/>
                  </w:pPr>
                  <w:r>
                    <w:t>Sử dụng nhiều giá trị "magic", các giá trị số hoặc chuỗi xuất hiện trong mã mà không có ý nghĩa rõ ràng hoặc không được giải thích.</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t>Đặt tên</w:t>
                  </w:r>
                </w:p>
              </w:tc>
              <w:tc>
                <w:tcPr>
                  <w:tcW w:w="4533" w:type="dxa"/>
                </w:tcPr>
                <w:p w:rsidR="0009515C" w:rsidRDefault="0009515C" w:rsidP="0009515C">
                  <w:pPr>
                    <w:spacing w:before="100" w:beforeAutospacing="1" w:after="100" w:afterAutospacing="1"/>
                  </w:pPr>
                  <w:r>
                    <w:t>Tên biến, hàm và lớp được đặt rõ ràng và có ý nghĩa, giúp người đọc dễ dàng hiểu được chức năng của chúng.</w:t>
                  </w:r>
                </w:p>
              </w:tc>
              <w:tc>
                <w:tcPr>
                  <w:tcW w:w="4570" w:type="dxa"/>
                </w:tcPr>
                <w:p w:rsidR="0009515C" w:rsidRDefault="00B3614F" w:rsidP="0009515C">
                  <w:pPr>
                    <w:spacing w:before="100" w:beforeAutospacing="1" w:after="100" w:afterAutospacing="1"/>
                  </w:pPr>
                  <w:r>
                    <w:t>Tên biến, hàm và lớp không rõ ràng, không liên quan hoặc quá ngắn, làm cho người đọc khó hiểu được chức năng của chúng.</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t>Kiểm thử</w:t>
                  </w:r>
                </w:p>
              </w:tc>
              <w:tc>
                <w:tcPr>
                  <w:tcW w:w="4533" w:type="dxa"/>
                </w:tcPr>
                <w:p w:rsidR="0009515C" w:rsidRDefault="0009515C" w:rsidP="0009515C">
                  <w:pPr>
                    <w:spacing w:before="100" w:beforeAutospacing="1" w:after="100" w:afterAutospacing="1"/>
                  </w:pPr>
                  <w:r>
                    <w:t>Có unit test và acceptance test đầy đủ, đảm bảo mã hoạt động như mong đợi và giúp phát hiện lỗi nhanh chóng.</w:t>
                  </w:r>
                </w:p>
              </w:tc>
              <w:tc>
                <w:tcPr>
                  <w:tcW w:w="4570" w:type="dxa"/>
                </w:tcPr>
                <w:p w:rsidR="0009515C" w:rsidRDefault="00B3614F" w:rsidP="0009515C">
                  <w:pPr>
                    <w:spacing w:before="100" w:beforeAutospacing="1" w:after="100" w:afterAutospacing="1"/>
                  </w:pPr>
                  <w:r>
                    <w:t>Thiếu unit test hoặc kiểm thử không đầy đủ, dẫn đến việc khó phát hiện lỗi và đảm bảo chất lượng mã.</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t>Bình luận trong mã</w:t>
                  </w:r>
                </w:p>
              </w:tc>
              <w:tc>
                <w:tcPr>
                  <w:tcW w:w="4533" w:type="dxa"/>
                </w:tcPr>
                <w:p w:rsidR="0009515C" w:rsidRDefault="0009515C" w:rsidP="0009515C">
                  <w:pPr>
                    <w:spacing w:before="100" w:beforeAutospacing="1" w:after="100" w:afterAutospacing="1"/>
                  </w:pPr>
                  <w:r>
                    <w:t>Sử dụng bình luận đúng cách để giải thích các logic phức tạp hoặc các quyết định thiết kế đặc biệt.</w:t>
                  </w:r>
                </w:p>
              </w:tc>
              <w:tc>
                <w:tcPr>
                  <w:tcW w:w="4570" w:type="dxa"/>
                </w:tcPr>
                <w:p w:rsidR="0009515C" w:rsidRDefault="00B3614F" w:rsidP="00B3614F">
                  <w:pPr>
                    <w:spacing w:before="100" w:beforeAutospacing="1" w:after="100" w:afterAutospacing="1"/>
                  </w:pPr>
                  <w:r>
                    <w:t>Lạm dụng bình luận để giải thích mã</w:t>
                  </w:r>
                  <w:r>
                    <w:t>.</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t>Sự phụ thuộc</w:t>
                  </w:r>
                </w:p>
              </w:tc>
              <w:tc>
                <w:tcPr>
                  <w:tcW w:w="4533" w:type="dxa"/>
                </w:tcPr>
                <w:p w:rsidR="0009515C" w:rsidRDefault="0009515C" w:rsidP="0009515C">
                  <w:pPr>
                    <w:spacing w:before="100" w:beforeAutospacing="1" w:after="100" w:afterAutospacing="1"/>
                  </w:pPr>
                  <w:r>
                    <w:t>Có ít sự phụ thuộc giữa các thành phần, tăng tính linh hoạt và dễ bảo trì.</w:t>
                  </w:r>
                </w:p>
              </w:tc>
              <w:tc>
                <w:tcPr>
                  <w:tcW w:w="4570" w:type="dxa"/>
                </w:tcPr>
                <w:p w:rsidR="0009515C" w:rsidRDefault="00B3614F" w:rsidP="0009515C">
                  <w:pPr>
                    <w:spacing w:before="100" w:beforeAutospacing="1" w:after="100" w:afterAutospacing="1"/>
                  </w:pPr>
                  <w:r>
                    <w:t>Có nhiều mối quan hệ phụ thuộc giữa các thành phần, làm giảm tính linh hoạt và khó khăn trong việc bảo trì.</w:t>
                  </w:r>
                </w:p>
              </w:tc>
            </w:tr>
            <w:tr w:rsidR="0009515C" w:rsidTr="00B3614F">
              <w:tc>
                <w:tcPr>
                  <w:tcW w:w="1136" w:type="dxa"/>
                </w:tcPr>
                <w:p w:rsidR="0009515C" w:rsidRPr="00B3614F" w:rsidRDefault="0009515C" w:rsidP="00B3614F">
                  <w:pPr>
                    <w:spacing w:before="100" w:beforeAutospacing="1" w:after="100" w:afterAutospacing="1"/>
                    <w:rPr>
                      <w:i/>
                    </w:rPr>
                  </w:pPr>
                  <w:r w:rsidRPr="00B3614F">
                    <w:rPr>
                      <w:i/>
                    </w:rPr>
                    <w:lastRenderedPageBreak/>
                    <w:t>Phản ánh thiết kế</w:t>
                  </w:r>
                </w:p>
              </w:tc>
              <w:tc>
                <w:tcPr>
                  <w:tcW w:w="4533" w:type="dxa"/>
                </w:tcPr>
                <w:p w:rsidR="0009515C" w:rsidRDefault="0009515C" w:rsidP="0009515C">
                  <w:pPr>
                    <w:spacing w:before="100" w:beforeAutospacing="1" w:after="100" w:afterAutospacing="1"/>
                  </w:pPr>
                  <w:r>
                    <w:t>Mã thể hiện được ý tưởng và nguyên tắc của thiết kế, giúp mọi người hiểu rõ hơn về giải pháp tổng thể.</w:t>
                  </w:r>
                </w:p>
              </w:tc>
              <w:tc>
                <w:tcPr>
                  <w:tcW w:w="4570" w:type="dxa"/>
                </w:tcPr>
                <w:p w:rsidR="0009515C" w:rsidRDefault="00B3614F" w:rsidP="0009515C">
                  <w:pPr>
                    <w:spacing w:before="100" w:beforeAutospacing="1" w:after="100" w:afterAutospacing="1"/>
                  </w:pPr>
                  <w:r>
                    <w:t>Mã không phản ánh rõ ý tưởng thiết kế, làm cho người đọc khó hiểu về giải pháp và ý định của người viết mã.</w:t>
                  </w:r>
                </w:p>
              </w:tc>
            </w:tr>
          </w:tbl>
          <w:p w:rsidR="0009515C" w:rsidRDefault="0009515C" w:rsidP="0009515C">
            <w:pPr>
              <w:spacing w:before="100" w:beforeAutospacing="1" w:after="100" w:afterAutospacing="1"/>
            </w:pPr>
          </w:p>
        </w:tc>
      </w:tr>
      <w:tr w:rsidR="00E00610" w:rsidTr="00B3614F">
        <w:tc>
          <w:tcPr>
            <w:tcW w:w="1271" w:type="dxa"/>
          </w:tcPr>
          <w:p w:rsidR="00E00610" w:rsidRDefault="00E00610"/>
        </w:tc>
        <w:tc>
          <w:tcPr>
            <w:tcW w:w="10348" w:type="dxa"/>
          </w:tcPr>
          <w:p w:rsidR="00E00610" w:rsidRDefault="00E00610" w:rsidP="00E00610">
            <w:r>
              <w:t>Kết luận</w:t>
            </w:r>
          </w:p>
        </w:tc>
      </w:tr>
    </w:tbl>
    <w:p w:rsidR="00AB7D56" w:rsidRDefault="00AB7D56"/>
    <w:sectPr w:rsidR="00AB7D56" w:rsidSect="00B3614F">
      <w:pgSz w:w="11907" w:h="16840" w:code="9"/>
      <w:pgMar w:top="1134" w:right="1440" w:bottom="1440" w:left="14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2F5A"/>
    <w:multiLevelType w:val="hybridMultilevel"/>
    <w:tmpl w:val="8DF443DC"/>
    <w:lvl w:ilvl="0" w:tplc="5C441D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5B3"/>
    <w:multiLevelType w:val="hybridMultilevel"/>
    <w:tmpl w:val="C78CE4A8"/>
    <w:lvl w:ilvl="0" w:tplc="250A3F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17124"/>
    <w:multiLevelType w:val="hybridMultilevel"/>
    <w:tmpl w:val="D0D4EA30"/>
    <w:lvl w:ilvl="0" w:tplc="CFE8A25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B5548D"/>
    <w:multiLevelType w:val="hybridMultilevel"/>
    <w:tmpl w:val="4A62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308D3"/>
    <w:multiLevelType w:val="hybridMultilevel"/>
    <w:tmpl w:val="0696E2AE"/>
    <w:lvl w:ilvl="0" w:tplc="75CEF9C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B0260C"/>
    <w:multiLevelType w:val="multilevel"/>
    <w:tmpl w:val="BAD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D01FA"/>
    <w:multiLevelType w:val="hybridMultilevel"/>
    <w:tmpl w:val="4A12FC1C"/>
    <w:lvl w:ilvl="0" w:tplc="75582C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A36B2"/>
    <w:multiLevelType w:val="multilevel"/>
    <w:tmpl w:val="1C9A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C5617"/>
    <w:multiLevelType w:val="hybridMultilevel"/>
    <w:tmpl w:val="2E5E4C8A"/>
    <w:lvl w:ilvl="0" w:tplc="1A4C2D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2342E3"/>
    <w:multiLevelType w:val="multilevel"/>
    <w:tmpl w:val="C076ED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51CBF"/>
    <w:multiLevelType w:val="multilevel"/>
    <w:tmpl w:val="112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E1E45"/>
    <w:multiLevelType w:val="multilevel"/>
    <w:tmpl w:val="FA820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3F163E"/>
    <w:multiLevelType w:val="hybridMultilevel"/>
    <w:tmpl w:val="98187CAC"/>
    <w:lvl w:ilvl="0" w:tplc="8356DE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A06F4"/>
    <w:multiLevelType w:val="hybridMultilevel"/>
    <w:tmpl w:val="1040BA24"/>
    <w:lvl w:ilvl="0" w:tplc="364420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02278"/>
    <w:multiLevelType w:val="multilevel"/>
    <w:tmpl w:val="FF3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E37BC"/>
    <w:multiLevelType w:val="hybridMultilevel"/>
    <w:tmpl w:val="8362EED0"/>
    <w:lvl w:ilvl="0" w:tplc="19CE5D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672E3"/>
    <w:multiLevelType w:val="hybridMultilevel"/>
    <w:tmpl w:val="3AAC43B2"/>
    <w:lvl w:ilvl="0" w:tplc="6B1EF562">
      <w:numFmt w:val="bullet"/>
      <w:lvlText w:val=""/>
      <w:lvlJc w:val="left"/>
      <w:pPr>
        <w:ind w:left="432" w:hanging="360"/>
      </w:pPr>
      <w:rPr>
        <w:rFonts w:ascii="Symbol" w:eastAsiaTheme="minorHAnsi" w:hAnsi="Symbol"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 w15:restartNumberingAfterBreak="0">
    <w:nsid w:val="653E4A37"/>
    <w:multiLevelType w:val="hybridMultilevel"/>
    <w:tmpl w:val="99644004"/>
    <w:lvl w:ilvl="0" w:tplc="F2C2A112">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EC572B"/>
    <w:multiLevelType w:val="hybridMultilevel"/>
    <w:tmpl w:val="02BC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C65A87"/>
    <w:multiLevelType w:val="hybridMultilevel"/>
    <w:tmpl w:val="4CE41736"/>
    <w:lvl w:ilvl="0" w:tplc="4E487D74">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76DD5B87"/>
    <w:multiLevelType w:val="hybridMultilevel"/>
    <w:tmpl w:val="8C38E442"/>
    <w:lvl w:ilvl="0" w:tplc="C2E66A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0"/>
  </w:num>
  <w:num w:numId="5">
    <w:abstractNumId w:val="11"/>
  </w:num>
  <w:num w:numId="6">
    <w:abstractNumId w:val="7"/>
  </w:num>
  <w:num w:numId="7">
    <w:abstractNumId w:val="18"/>
  </w:num>
  <w:num w:numId="8">
    <w:abstractNumId w:val="15"/>
  </w:num>
  <w:num w:numId="9">
    <w:abstractNumId w:val="3"/>
  </w:num>
  <w:num w:numId="10">
    <w:abstractNumId w:val="8"/>
  </w:num>
  <w:num w:numId="11">
    <w:abstractNumId w:val="4"/>
  </w:num>
  <w:num w:numId="12">
    <w:abstractNumId w:val="17"/>
  </w:num>
  <w:num w:numId="13">
    <w:abstractNumId w:val="20"/>
  </w:num>
  <w:num w:numId="14">
    <w:abstractNumId w:val="2"/>
  </w:num>
  <w:num w:numId="15">
    <w:abstractNumId w:val="16"/>
  </w:num>
  <w:num w:numId="16">
    <w:abstractNumId w:val="1"/>
  </w:num>
  <w:num w:numId="17">
    <w:abstractNumId w:val="12"/>
  </w:num>
  <w:num w:numId="18">
    <w:abstractNumId w:val="19"/>
  </w:num>
  <w:num w:numId="19">
    <w:abstractNumId w:val="6"/>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10"/>
    <w:rsid w:val="000842ED"/>
    <w:rsid w:val="0009515C"/>
    <w:rsid w:val="00153213"/>
    <w:rsid w:val="001B4ED0"/>
    <w:rsid w:val="00332117"/>
    <w:rsid w:val="005E7AD4"/>
    <w:rsid w:val="00880B11"/>
    <w:rsid w:val="0097763B"/>
    <w:rsid w:val="00AB7D56"/>
    <w:rsid w:val="00B3614F"/>
    <w:rsid w:val="00C032D0"/>
    <w:rsid w:val="00C62CF5"/>
    <w:rsid w:val="00D74A15"/>
    <w:rsid w:val="00E0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AB3D"/>
  <w15:chartTrackingRefBased/>
  <w15:docId w15:val="{940F86AE-02F5-4B92-9385-3B74CF0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0610"/>
    <w:rPr>
      <w:color w:val="0000FF"/>
      <w:u w:val="single"/>
    </w:rPr>
  </w:style>
  <w:style w:type="paragraph" w:styleId="ListParagraph">
    <w:name w:val="List Paragraph"/>
    <w:basedOn w:val="Normal"/>
    <w:uiPriority w:val="34"/>
    <w:qFormat/>
    <w:rsid w:val="00E0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20446">
      <w:bodyDiv w:val="1"/>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
        <w:div w:id="1023557091">
          <w:marLeft w:val="0"/>
          <w:marRight w:val="0"/>
          <w:marTop w:val="0"/>
          <w:marBottom w:val="0"/>
          <w:divBdr>
            <w:top w:val="none" w:sz="0" w:space="0" w:color="auto"/>
            <w:left w:val="none" w:sz="0" w:space="0" w:color="auto"/>
            <w:bottom w:val="none" w:sz="0" w:space="0" w:color="auto"/>
            <w:right w:val="none" w:sz="0" w:space="0" w:color="auto"/>
          </w:divBdr>
        </w:div>
        <w:div w:id="1151557012">
          <w:marLeft w:val="0"/>
          <w:marRight w:val="0"/>
          <w:marTop w:val="0"/>
          <w:marBottom w:val="0"/>
          <w:divBdr>
            <w:top w:val="none" w:sz="0" w:space="0" w:color="auto"/>
            <w:left w:val="none" w:sz="0" w:space="0" w:color="auto"/>
            <w:bottom w:val="none" w:sz="0" w:space="0" w:color="auto"/>
            <w:right w:val="none" w:sz="0" w:space="0" w:color="auto"/>
          </w:divBdr>
        </w:div>
        <w:div w:id="316542034">
          <w:marLeft w:val="0"/>
          <w:marRight w:val="0"/>
          <w:marTop w:val="0"/>
          <w:marBottom w:val="0"/>
          <w:divBdr>
            <w:top w:val="none" w:sz="0" w:space="0" w:color="auto"/>
            <w:left w:val="none" w:sz="0" w:space="0" w:color="auto"/>
            <w:bottom w:val="none" w:sz="0" w:space="0" w:color="auto"/>
            <w:right w:val="none" w:sz="0" w:space="0" w:color="auto"/>
          </w:divBdr>
        </w:div>
        <w:div w:id="349717583">
          <w:marLeft w:val="0"/>
          <w:marRight w:val="0"/>
          <w:marTop w:val="0"/>
          <w:marBottom w:val="0"/>
          <w:divBdr>
            <w:top w:val="none" w:sz="0" w:space="0" w:color="auto"/>
            <w:left w:val="none" w:sz="0" w:space="0" w:color="auto"/>
            <w:bottom w:val="none" w:sz="0" w:space="0" w:color="auto"/>
            <w:right w:val="none" w:sz="0" w:space="0" w:color="auto"/>
          </w:divBdr>
        </w:div>
        <w:div w:id="70197532">
          <w:marLeft w:val="0"/>
          <w:marRight w:val="0"/>
          <w:marTop w:val="0"/>
          <w:marBottom w:val="0"/>
          <w:divBdr>
            <w:top w:val="none" w:sz="0" w:space="0" w:color="auto"/>
            <w:left w:val="none" w:sz="0" w:space="0" w:color="auto"/>
            <w:bottom w:val="none" w:sz="0" w:space="0" w:color="auto"/>
            <w:right w:val="none" w:sz="0" w:space="0" w:color="auto"/>
          </w:divBdr>
        </w:div>
        <w:div w:id="1069304859">
          <w:marLeft w:val="0"/>
          <w:marRight w:val="0"/>
          <w:marTop w:val="0"/>
          <w:marBottom w:val="0"/>
          <w:divBdr>
            <w:top w:val="none" w:sz="0" w:space="0" w:color="auto"/>
            <w:left w:val="none" w:sz="0" w:space="0" w:color="auto"/>
            <w:bottom w:val="none" w:sz="0" w:space="0" w:color="auto"/>
            <w:right w:val="none" w:sz="0" w:space="0" w:color="auto"/>
          </w:divBdr>
        </w:div>
        <w:div w:id="1373580549">
          <w:marLeft w:val="0"/>
          <w:marRight w:val="0"/>
          <w:marTop w:val="0"/>
          <w:marBottom w:val="0"/>
          <w:divBdr>
            <w:top w:val="none" w:sz="0" w:space="0" w:color="auto"/>
            <w:left w:val="none" w:sz="0" w:space="0" w:color="auto"/>
            <w:bottom w:val="none" w:sz="0" w:space="0" w:color="auto"/>
            <w:right w:val="none" w:sz="0" w:space="0" w:color="auto"/>
          </w:divBdr>
        </w:div>
        <w:div w:id="712731417">
          <w:marLeft w:val="0"/>
          <w:marRight w:val="0"/>
          <w:marTop w:val="0"/>
          <w:marBottom w:val="0"/>
          <w:divBdr>
            <w:top w:val="none" w:sz="0" w:space="0" w:color="auto"/>
            <w:left w:val="none" w:sz="0" w:space="0" w:color="auto"/>
            <w:bottom w:val="none" w:sz="0" w:space="0" w:color="auto"/>
            <w:right w:val="none" w:sz="0" w:space="0" w:color="auto"/>
          </w:divBdr>
        </w:div>
        <w:div w:id="1400901020">
          <w:marLeft w:val="0"/>
          <w:marRight w:val="0"/>
          <w:marTop w:val="0"/>
          <w:marBottom w:val="0"/>
          <w:divBdr>
            <w:top w:val="none" w:sz="0" w:space="0" w:color="auto"/>
            <w:left w:val="none" w:sz="0" w:space="0" w:color="auto"/>
            <w:bottom w:val="none" w:sz="0" w:space="0" w:color="auto"/>
            <w:right w:val="none" w:sz="0" w:space="0" w:color="auto"/>
          </w:divBdr>
        </w:div>
        <w:div w:id="751049067">
          <w:marLeft w:val="0"/>
          <w:marRight w:val="0"/>
          <w:marTop w:val="0"/>
          <w:marBottom w:val="0"/>
          <w:divBdr>
            <w:top w:val="none" w:sz="0" w:space="0" w:color="auto"/>
            <w:left w:val="none" w:sz="0" w:space="0" w:color="auto"/>
            <w:bottom w:val="none" w:sz="0" w:space="0" w:color="auto"/>
            <w:right w:val="none" w:sz="0" w:space="0" w:color="auto"/>
          </w:divBdr>
        </w:div>
        <w:div w:id="1793017398">
          <w:marLeft w:val="0"/>
          <w:marRight w:val="0"/>
          <w:marTop w:val="0"/>
          <w:marBottom w:val="0"/>
          <w:divBdr>
            <w:top w:val="none" w:sz="0" w:space="0" w:color="auto"/>
            <w:left w:val="none" w:sz="0" w:space="0" w:color="auto"/>
            <w:bottom w:val="none" w:sz="0" w:space="0" w:color="auto"/>
            <w:right w:val="none" w:sz="0" w:space="0" w:color="auto"/>
          </w:divBdr>
        </w:div>
        <w:div w:id="553735905">
          <w:marLeft w:val="0"/>
          <w:marRight w:val="0"/>
          <w:marTop w:val="0"/>
          <w:marBottom w:val="0"/>
          <w:divBdr>
            <w:top w:val="none" w:sz="0" w:space="0" w:color="auto"/>
            <w:left w:val="none" w:sz="0" w:space="0" w:color="auto"/>
            <w:bottom w:val="none" w:sz="0" w:space="0" w:color="auto"/>
            <w:right w:val="none" w:sz="0" w:space="0" w:color="auto"/>
          </w:divBdr>
        </w:div>
        <w:div w:id="652683001">
          <w:marLeft w:val="0"/>
          <w:marRight w:val="0"/>
          <w:marTop w:val="0"/>
          <w:marBottom w:val="0"/>
          <w:divBdr>
            <w:top w:val="none" w:sz="0" w:space="0" w:color="auto"/>
            <w:left w:val="none" w:sz="0" w:space="0" w:color="auto"/>
            <w:bottom w:val="none" w:sz="0" w:space="0" w:color="auto"/>
            <w:right w:val="none" w:sz="0" w:space="0" w:color="auto"/>
          </w:divBdr>
        </w:div>
        <w:div w:id="683870323">
          <w:marLeft w:val="0"/>
          <w:marRight w:val="0"/>
          <w:marTop w:val="0"/>
          <w:marBottom w:val="0"/>
          <w:divBdr>
            <w:top w:val="none" w:sz="0" w:space="0" w:color="auto"/>
            <w:left w:val="none" w:sz="0" w:space="0" w:color="auto"/>
            <w:bottom w:val="none" w:sz="0" w:space="0" w:color="auto"/>
            <w:right w:val="none" w:sz="0" w:space="0" w:color="auto"/>
          </w:divBdr>
        </w:div>
        <w:div w:id="1021932556">
          <w:marLeft w:val="0"/>
          <w:marRight w:val="0"/>
          <w:marTop w:val="0"/>
          <w:marBottom w:val="0"/>
          <w:divBdr>
            <w:top w:val="none" w:sz="0" w:space="0" w:color="auto"/>
            <w:left w:val="none" w:sz="0" w:space="0" w:color="auto"/>
            <w:bottom w:val="none" w:sz="0" w:space="0" w:color="auto"/>
            <w:right w:val="none" w:sz="0" w:space="0" w:color="auto"/>
          </w:divBdr>
        </w:div>
        <w:div w:id="372274352">
          <w:marLeft w:val="0"/>
          <w:marRight w:val="0"/>
          <w:marTop w:val="0"/>
          <w:marBottom w:val="0"/>
          <w:divBdr>
            <w:top w:val="none" w:sz="0" w:space="0" w:color="auto"/>
            <w:left w:val="none" w:sz="0" w:space="0" w:color="auto"/>
            <w:bottom w:val="none" w:sz="0" w:space="0" w:color="auto"/>
            <w:right w:val="none" w:sz="0" w:space="0" w:color="auto"/>
          </w:divBdr>
        </w:div>
        <w:div w:id="644428462">
          <w:marLeft w:val="0"/>
          <w:marRight w:val="0"/>
          <w:marTop w:val="0"/>
          <w:marBottom w:val="0"/>
          <w:divBdr>
            <w:top w:val="none" w:sz="0" w:space="0" w:color="auto"/>
            <w:left w:val="none" w:sz="0" w:space="0" w:color="auto"/>
            <w:bottom w:val="none" w:sz="0" w:space="0" w:color="auto"/>
            <w:right w:val="none" w:sz="0" w:space="0" w:color="auto"/>
          </w:divBdr>
        </w:div>
        <w:div w:id="163560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8C30-4E88-41EB-A573-EDE86A86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2024-08-13T10:10:00Z</dcterms:created>
  <dcterms:modified xsi:type="dcterms:W3CDTF">2024-08-13T10:10:00Z</dcterms:modified>
</cp:coreProperties>
</file>