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FB6F8FE" w14:textId="115BD1A2" w:rsidR="00AC782C" w:rsidRDefault="00626569" w:rsidP="00AC782C">
      <w:pPr>
        <w:pStyle w:val="Heading1"/>
        <w:spacing w:line="360" w:lineRule="auto"/>
      </w:pPr>
      <w:r w:rsidRPr="00626569">
        <w:drawing>
          <wp:anchor distT="0" distB="0" distL="114300" distR="114300" simplePos="0" relativeHeight="251658240" behindDoc="0" locked="0" layoutInCell="1" allowOverlap="1" wp14:anchorId="0A85DC64" wp14:editId="1EF22887">
            <wp:simplePos x="0" y="0"/>
            <wp:positionH relativeFrom="margin">
              <wp:align>right</wp:align>
            </wp:positionH>
            <wp:positionV relativeFrom="paragraph">
              <wp:posOffset>-730829</wp:posOffset>
            </wp:positionV>
            <wp:extent cx="7560310" cy="5673725"/>
            <wp:effectExtent l="0" t="0" r="2540" b="3175"/>
            <wp:wrapNone/>
            <wp:docPr id="129048738" name="Picture 1" descr="A person in a white hat and a camel in a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8738" name="Picture 1" descr="A person in a white hat and a camel in a dese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60310" cy="5673725"/>
                    </a:xfrm>
                    <a:prstGeom prst="rect">
                      <a:avLst/>
                    </a:prstGeom>
                  </pic:spPr>
                </pic:pic>
              </a:graphicData>
            </a:graphic>
          </wp:anchor>
        </w:drawing>
      </w:r>
    </w:p>
    <w:p w14:paraId="497AF4C6" w14:textId="77777777" w:rsidR="00AC782C" w:rsidRDefault="00AC782C" w:rsidP="00AC782C">
      <w:pPr>
        <w:pStyle w:val="Heading1"/>
        <w:spacing w:line="360" w:lineRule="auto"/>
      </w:pPr>
    </w:p>
    <w:p w14:paraId="0D0D3B3B" w14:textId="77777777" w:rsidR="00AC782C" w:rsidRDefault="00AC782C" w:rsidP="00AC782C">
      <w:pPr>
        <w:pStyle w:val="Heading1"/>
        <w:spacing w:line="360" w:lineRule="auto"/>
      </w:pPr>
    </w:p>
    <w:p w14:paraId="4FA5FE1B" w14:textId="77777777" w:rsidR="00AC782C" w:rsidRDefault="00AC782C" w:rsidP="00AC782C">
      <w:pPr>
        <w:pStyle w:val="Heading1"/>
        <w:spacing w:line="360" w:lineRule="auto"/>
      </w:pPr>
    </w:p>
    <w:p w14:paraId="2E122A13" w14:textId="77777777" w:rsidR="00AC782C" w:rsidRDefault="00AC782C" w:rsidP="00AC782C">
      <w:pPr>
        <w:pStyle w:val="Heading1"/>
        <w:spacing w:line="360" w:lineRule="auto"/>
      </w:pPr>
    </w:p>
    <w:p w14:paraId="2841EDAA" w14:textId="77777777" w:rsidR="00AC782C" w:rsidRDefault="00AC782C" w:rsidP="00AC782C"/>
    <w:p w14:paraId="3DA33A5E" w14:textId="77777777" w:rsidR="00AC782C" w:rsidRDefault="00AC782C" w:rsidP="00AC782C"/>
    <w:p w14:paraId="6D4A504E" w14:textId="77777777" w:rsidR="00AC782C" w:rsidRDefault="00AC782C" w:rsidP="00AC782C"/>
    <w:p w14:paraId="77CB6C8C" w14:textId="77777777" w:rsidR="00100106" w:rsidRDefault="00100106" w:rsidP="00AC782C"/>
    <w:bookmarkStart w:id="0" w:name="_Toc165448783" w:displacedByCustomXml="next"/>
    <w:bookmarkStart w:id="1" w:name="_Toc165488517" w:displacedByCustomXml="next"/>
    <w:sdt>
      <w:sdtPr>
        <w:rPr>
          <w:rFonts w:ascii="Calibri" w:eastAsiaTheme="minorHAnsi" w:hAnsi="Calibri" w:cstheme="minorBidi"/>
          <w:color w:val="auto"/>
          <w:sz w:val="22"/>
          <w:szCs w:val="22"/>
          <w14:textOutline w14:w="0" w14:cap="rnd" w14:cmpd="sng" w14:algn="ctr">
            <w14:noFill/>
            <w14:prstDash w14:val="solid"/>
            <w14:bevel/>
          </w14:textOutline>
          <w14:props3d w14:extrusionH="0" w14:contourW="0" w14:prstMaterial="none"/>
        </w:rPr>
        <w:id w:val="1364948248"/>
        <w:docPartObj>
          <w:docPartGallery w:val="Table of Contents"/>
          <w:docPartUnique/>
        </w:docPartObj>
      </w:sdtPr>
      <w:sdtEndPr>
        <w:rPr>
          <w:rFonts w:ascii="Geliat ExtraLight" w:hAnsi="Geliat ExtraLight"/>
          <w:b/>
          <w:bCs/>
          <w:noProof/>
        </w:rPr>
      </w:sdtEndPr>
      <w:sdtContent>
        <w:p w14:paraId="21D641AE" w14:textId="77777777" w:rsidR="005371FF" w:rsidRDefault="00AC782C" w:rsidP="00100106">
          <w:pPr>
            <w:pStyle w:val="Heading2"/>
            <w:rPr>
              <w:noProof/>
            </w:rPr>
          </w:pPr>
          <w:r w:rsidRPr="00100106">
            <w:t>Inhaltsverzeichnis</w:t>
          </w:r>
          <w:bookmarkEnd w:id="1"/>
          <w:bookmarkEnd w:id="0"/>
          <w:r w:rsidRPr="00100106">
            <w:rPr>
              <w:rFonts w:ascii="Geliat ExtraLight" w:hAnsi="Geliat ExtraLight"/>
            </w:rPr>
            <w:fldChar w:fldCharType="begin"/>
          </w:r>
          <w:r w:rsidRPr="00100106">
            <w:rPr>
              <w:rFonts w:ascii="Geliat ExtraLight" w:hAnsi="Geliat ExtraLight"/>
            </w:rPr>
            <w:instrText xml:space="preserve"> TOC \o "1-3" \h \z \u </w:instrText>
          </w:r>
          <w:r w:rsidRPr="00100106">
            <w:rPr>
              <w:rFonts w:ascii="Geliat ExtraLight" w:hAnsi="Geliat ExtraLight"/>
            </w:rPr>
            <w:fldChar w:fldCharType="separate"/>
          </w:r>
        </w:p>
        <w:p w14:paraId="22CB8DBF" w14:textId="4E2ADD80" w:rsidR="005371FF" w:rsidRPr="005371FF" w:rsidRDefault="00000000">
          <w:pPr>
            <w:pStyle w:val="TOC2"/>
            <w:rPr>
              <w:rFonts w:eastAsiaTheme="minorEastAsia"/>
              <w:b w:val="0"/>
              <w:bCs w:val="0"/>
              <w:sz w:val="24"/>
              <w:szCs w:val="24"/>
              <w:lang w:eastAsia="de-DE"/>
            </w:rPr>
          </w:pPr>
          <w:hyperlink w:anchor="_Toc165488518" w:history="1">
            <w:r w:rsidR="005371FF" w:rsidRPr="005371FF">
              <w:rPr>
                <w:rStyle w:val="Hyperlink"/>
              </w:rPr>
              <w:t>Die Eroberung Namibias</w:t>
            </w:r>
            <w:r w:rsidR="005371FF" w:rsidRPr="005371FF">
              <w:rPr>
                <w:webHidden/>
              </w:rPr>
              <w:tab/>
            </w:r>
            <w:r w:rsidR="005371FF" w:rsidRPr="005371FF">
              <w:rPr>
                <w:webHidden/>
              </w:rPr>
              <w:fldChar w:fldCharType="begin"/>
            </w:r>
            <w:r w:rsidR="005371FF" w:rsidRPr="005371FF">
              <w:rPr>
                <w:webHidden/>
              </w:rPr>
              <w:instrText xml:space="preserve"> PAGEREF _Toc165488518 \h </w:instrText>
            </w:r>
            <w:r w:rsidR="005371FF" w:rsidRPr="005371FF">
              <w:rPr>
                <w:webHidden/>
              </w:rPr>
            </w:r>
            <w:r w:rsidR="005371FF" w:rsidRPr="005371FF">
              <w:rPr>
                <w:webHidden/>
              </w:rPr>
              <w:fldChar w:fldCharType="separate"/>
            </w:r>
            <w:r w:rsidR="001E2A03">
              <w:rPr>
                <w:webHidden/>
              </w:rPr>
              <w:t>2</w:t>
            </w:r>
            <w:r w:rsidR="005371FF" w:rsidRPr="005371FF">
              <w:rPr>
                <w:webHidden/>
              </w:rPr>
              <w:fldChar w:fldCharType="end"/>
            </w:r>
          </w:hyperlink>
        </w:p>
        <w:p w14:paraId="76099ED1" w14:textId="29133DD5" w:rsidR="005371FF" w:rsidRPr="005371FF" w:rsidRDefault="00000000">
          <w:pPr>
            <w:pStyle w:val="TOC2"/>
            <w:rPr>
              <w:rFonts w:eastAsiaTheme="minorEastAsia"/>
              <w:b w:val="0"/>
              <w:bCs w:val="0"/>
              <w:sz w:val="24"/>
              <w:szCs w:val="24"/>
              <w:lang w:eastAsia="de-DE"/>
            </w:rPr>
          </w:pPr>
          <w:hyperlink w:anchor="_Toc165488519" w:history="1">
            <w:r w:rsidR="005371FF" w:rsidRPr="005371FF">
              <w:rPr>
                <w:rStyle w:val="Hyperlink"/>
              </w:rPr>
              <w:t>Die Unterdrückung der Namibianer</w:t>
            </w:r>
            <w:r w:rsidR="005371FF" w:rsidRPr="005371FF">
              <w:rPr>
                <w:webHidden/>
              </w:rPr>
              <w:tab/>
            </w:r>
            <w:r w:rsidR="005371FF" w:rsidRPr="005371FF">
              <w:rPr>
                <w:webHidden/>
              </w:rPr>
              <w:fldChar w:fldCharType="begin"/>
            </w:r>
            <w:r w:rsidR="005371FF" w:rsidRPr="005371FF">
              <w:rPr>
                <w:webHidden/>
              </w:rPr>
              <w:instrText xml:space="preserve"> PAGEREF _Toc165488519 \h </w:instrText>
            </w:r>
            <w:r w:rsidR="005371FF" w:rsidRPr="005371FF">
              <w:rPr>
                <w:webHidden/>
              </w:rPr>
            </w:r>
            <w:r w:rsidR="005371FF" w:rsidRPr="005371FF">
              <w:rPr>
                <w:webHidden/>
              </w:rPr>
              <w:fldChar w:fldCharType="separate"/>
            </w:r>
            <w:r w:rsidR="001E2A03">
              <w:rPr>
                <w:webHidden/>
              </w:rPr>
              <w:t>3</w:t>
            </w:r>
            <w:r w:rsidR="005371FF" w:rsidRPr="005371FF">
              <w:rPr>
                <w:webHidden/>
              </w:rPr>
              <w:fldChar w:fldCharType="end"/>
            </w:r>
          </w:hyperlink>
        </w:p>
        <w:p w14:paraId="6A1EAE3C" w14:textId="16E2EA35" w:rsidR="005371FF" w:rsidRPr="005371FF" w:rsidRDefault="00000000">
          <w:pPr>
            <w:pStyle w:val="TOC2"/>
            <w:rPr>
              <w:rFonts w:eastAsiaTheme="minorEastAsia"/>
              <w:b w:val="0"/>
              <w:bCs w:val="0"/>
              <w:sz w:val="24"/>
              <w:szCs w:val="24"/>
              <w:lang w:eastAsia="de-DE"/>
            </w:rPr>
          </w:pPr>
          <w:hyperlink w:anchor="_Toc165488520" w:history="1">
            <w:r w:rsidR="005371FF" w:rsidRPr="005371FF">
              <w:rPr>
                <w:rStyle w:val="Hyperlink"/>
              </w:rPr>
              <w:t>Rassistische Vorstellungen</w:t>
            </w:r>
            <w:r w:rsidR="005371FF" w:rsidRPr="005371FF">
              <w:rPr>
                <w:webHidden/>
              </w:rPr>
              <w:tab/>
            </w:r>
            <w:r w:rsidR="005371FF" w:rsidRPr="005371FF">
              <w:rPr>
                <w:webHidden/>
              </w:rPr>
              <w:fldChar w:fldCharType="begin"/>
            </w:r>
            <w:r w:rsidR="005371FF" w:rsidRPr="005371FF">
              <w:rPr>
                <w:webHidden/>
              </w:rPr>
              <w:instrText xml:space="preserve"> PAGEREF _Toc165488520 \h </w:instrText>
            </w:r>
            <w:r w:rsidR="005371FF" w:rsidRPr="005371FF">
              <w:rPr>
                <w:webHidden/>
              </w:rPr>
            </w:r>
            <w:r w:rsidR="005371FF" w:rsidRPr="005371FF">
              <w:rPr>
                <w:webHidden/>
              </w:rPr>
              <w:fldChar w:fldCharType="separate"/>
            </w:r>
            <w:r w:rsidR="001E2A03">
              <w:rPr>
                <w:webHidden/>
              </w:rPr>
              <w:t>4</w:t>
            </w:r>
            <w:r w:rsidR="005371FF" w:rsidRPr="005371FF">
              <w:rPr>
                <w:webHidden/>
              </w:rPr>
              <w:fldChar w:fldCharType="end"/>
            </w:r>
          </w:hyperlink>
        </w:p>
        <w:p w14:paraId="360F2CCF" w14:textId="19B50589" w:rsidR="005371FF" w:rsidRPr="005371FF" w:rsidRDefault="00000000">
          <w:pPr>
            <w:pStyle w:val="TOC3"/>
            <w:rPr>
              <w:rFonts w:ascii="Geliat ExtraLight" w:eastAsiaTheme="minorEastAsia" w:hAnsi="Geliat ExtraLight"/>
              <w:noProof/>
              <w:sz w:val="24"/>
              <w:szCs w:val="24"/>
              <w:lang w:eastAsia="de-DE"/>
            </w:rPr>
          </w:pPr>
          <w:hyperlink w:anchor="_Toc165488521" w:history="1">
            <w:r w:rsidR="005371FF" w:rsidRPr="005371FF">
              <w:rPr>
                <w:rStyle w:val="Hyperlink"/>
                <w:rFonts w:ascii="Geliat ExtraLight" w:hAnsi="Geliat ExtraLight"/>
                <w:noProof/>
              </w:rPr>
              <w:t>Rassistische Vorstellungen in Deutsch-S</w:t>
            </w:r>
            <w:r w:rsidR="005371FF" w:rsidRPr="005371FF">
              <w:rPr>
                <w:rStyle w:val="Hyperlink"/>
                <w:rFonts w:ascii="Geliat ExtraLight" w:hAnsi="Geliat ExtraLight" w:cs="Cambria"/>
                <w:noProof/>
              </w:rPr>
              <w:t>ü</w:t>
            </w:r>
            <w:r w:rsidR="005371FF" w:rsidRPr="005371FF">
              <w:rPr>
                <w:rStyle w:val="Hyperlink"/>
                <w:rFonts w:ascii="Geliat ExtraLight" w:hAnsi="Geliat ExtraLight"/>
                <w:noProof/>
              </w:rPr>
              <w:t>dwestafrika</w:t>
            </w:r>
            <w:r w:rsidR="005371FF" w:rsidRPr="005371FF">
              <w:rPr>
                <w:rFonts w:ascii="Geliat ExtraLight" w:hAnsi="Geliat ExtraLight"/>
                <w:noProof/>
                <w:webHidden/>
              </w:rPr>
              <w:tab/>
            </w:r>
            <w:r w:rsidR="005371FF" w:rsidRPr="005371FF">
              <w:rPr>
                <w:rFonts w:ascii="Geliat ExtraLight" w:hAnsi="Geliat ExtraLight"/>
                <w:noProof/>
                <w:webHidden/>
              </w:rPr>
              <w:fldChar w:fldCharType="begin"/>
            </w:r>
            <w:r w:rsidR="005371FF" w:rsidRPr="005371FF">
              <w:rPr>
                <w:rFonts w:ascii="Geliat ExtraLight" w:hAnsi="Geliat ExtraLight"/>
                <w:noProof/>
                <w:webHidden/>
              </w:rPr>
              <w:instrText xml:space="preserve"> PAGEREF _Toc165488521 \h </w:instrText>
            </w:r>
            <w:r w:rsidR="005371FF" w:rsidRPr="005371FF">
              <w:rPr>
                <w:rFonts w:ascii="Geliat ExtraLight" w:hAnsi="Geliat ExtraLight"/>
                <w:noProof/>
                <w:webHidden/>
              </w:rPr>
            </w:r>
            <w:r w:rsidR="005371FF" w:rsidRPr="005371FF">
              <w:rPr>
                <w:rFonts w:ascii="Geliat ExtraLight" w:hAnsi="Geliat ExtraLight"/>
                <w:noProof/>
                <w:webHidden/>
              </w:rPr>
              <w:fldChar w:fldCharType="separate"/>
            </w:r>
            <w:r w:rsidR="001E2A03">
              <w:rPr>
                <w:rFonts w:ascii="Geliat ExtraLight" w:hAnsi="Geliat ExtraLight"/>
                <w:noProof/>
                <w:webHidden/>
              </w:rPr>
              <w:t>4</w:t>
            </w:r>
            <w:r w:rsidR="005371FF" w:rsidRPr="005371FF">
              <w:rPr>
                <w:rFonts w:ascii="Geliat ExtraLight" w:hAnsi="Geliat ExtraLight"/>
                <w:noProof/>
                <w:webHidden/>
              </w:rPr>
              <w:fldChar w:fldCharType="end"/>
            </w:r>
          </w:hyperlink>
        </w:p>
        <w:p w14:paraId="7F36C215" w14:textId="75BC4789" w:rsidR="005371FF" w:rsidRPr="005371FF" w:rsidRDefault="00000000">
          <w:pPr>
            <w:pStyle w:val="TOC3"/>
            <w:rPr>
              <w:rFonts w:ascii="Geliat ExtraLight" w:eastAsiaTheme="minorEastAsia" w:hAnsi="Geliat ExtraLight"/>
              <w:noProof/>
              <w:sz w:val="24"/>
              <w:szCs w:val="24"/>
              <w:lang w:eastAsia="de-DE"/>
            </w:rPr>
          </w:pPr>
          <w:hyperlink w:anchor="_Toc165488522" w:history="1">
            <w:r w:rsidR="005371FF" w:rsidRPr="005371FF">
              <w:rPr>
                <w:rStyle w:val="Hyperlink"/>
                <w:rFonts w:ascii="Geliat ExtraLight" w:hAnsi="Geliat ExtraLight"/>
                <w:noProof/>
              </w:rPr>
              <w:t>Rassismus im heutigen Namibia</w:t>
            </w:r>
            <w:r w:rsidR="005371FF" w:rsidRPr="005371FF">
              <w:rPr>
                <w:rFonts w:ascii="Geliat ExtraLight" w:hAnsi="Geliat ExtraLight"/>
                <w:noProof/>
                <w:webHidden/>
              </w:rPr>
              <w:tab/>
            </w:r>
            <w:r w:rsidR="005371FF" w:rsidRPr="005371FF">
              <w:rPr>
                <w:rFonts w:ascii="Geliat ExtraLight" w:hAnsi="Geliat ExtraLight"/>
                <w:noProof/>
                <w:webHidden/>
              </w:rPr>
              <w:fldChar w:fldCharType="begin"/>
            </w:r>
            <w:r w:rsidR="005371FF" w:rsidRPr="005371FF">
              <w:rPr>
                <w:rFonts w:ascii="Geliat ExtraLight" w:hAnsi="Geliat ExtraLight"/>
                <w:noProof/>
                <w:webHidden/>
              </w:rPr>
              <w:instrText xml:space="preserve"> PAGEREF _Toc165488522 \h </w:instrText>
            </w:r>
            <w:r w:rsidR="005371FF" w:rsidRPr="005371FF">
              <w:rPr>
                <w:rFonts w:ascii="Geliat ExtraLight" w:hAnsi="Geliat ExtraLight"/>
                <w:noProof/>
                <w:webHidden/>
              </w:rPr>
            </w:r>
            <w:r w:rsidR="005371FF" w:rsidRPr="005371FF">
              <w:rPr>
                <w:rFonts w:ascii="Geliat ExtraLight" w:hAnsi="Geliat ExtraLight"/>
                <w:noProof/>
                <w:webHidden/>
              </w:rPr>
              <w:fldChar w:fldCharType="separate"/>
            </w:r>
            <w:r w:rsidR="001E2A03">
              <w:rPr>
                <w:rFonts w:ascii="Geliat ExtraLight" w:hAnsi="Geliat ExtraLight"/>
                <w:noProof/>
                <w:webHidden/>
              </w:rPr>
              <w:t>4</w:t>
            </w:r>
            <w:r w:rsidR="005371FF" w:rsidRPr="005371FF">
              <w:rPr>
                <w:rFonts w:ascii="Geliat ExtraLight" w:hAnsi="Geliat ExtraLight"/>
                <w:noProof/>
                <w:webHidden/>
              </w:rPr>
              <w:fldChar w:fldCharType="end"/>
            </w:r>
          </w:hyperlink>
        </w:p>
        <w:p w14:paraId="72C0AB5E" w14:textId="59E574FF" w:rsidR="005371FF" w:rsidRPr="005371FF" w:rsidRDefault="00000000">
          <w:pPr>
            <w:pStyle w:val="TOC2"/>
            <w:rPr>
              <w:rFonts w:eastAsiaTheme="minorEastAsia"/>
              <w:b w:val="0"/>
              <w:bCs w:val="0"/>
              <w:sz w:val="24"/>
              <w:szCs w:val="24"/>
              <w:lang w:eastAsia="de-DE"/>
            </w:rPr>
          </w:pPr>
          <w:hyperlink w:anchor="_Toc165488523" w:history="1">
            <w:r w:rsidR="005371FF" w:rsidRPr="005371FF">
              <w:rPr>
                <w:rStyle w:val="Hyperlink"/>
              </w:rPr>
              <w:t>Folgen der Kolonialisierung</w:t>
            </w:r>
            <w:r w:rsidR="005371FF" w:rsidRPr="005371FF">
              <w:rPr>
                <w:webHidden/>
              </w:rPr>
              <w:tab/>
            </w:r>
            <w:r w:rsidR="005371FF" w:rsidRPr="005371FF">
              <w:rPr>
                <w:webHidden/>
              </w:rPr>
              <w:fldChar w:fldCharType="begin"/>
            </w:r>
            <w:r w:rsidR="005371FF" w:rsidRPr="005371FF">
              <w:rPr>
                <w:webHidden/>
              </w:rPr>
              <w:instrText xml:space="preserve"> PAGEREF _Toc165488523 \h </w:instrText>
            </w:r>
            <w:r w:rsidR="005371FF" w:rsidRPr="005371FF">
              <w:rPr>
                <w:webHidden/>
              </w:rPr>
            </w:r>
            <w:r w:rsidR="005371FF" w:rsidRPr="005371FF">
              <w:rPr>
                <w:webHidden/>
              </w:rPr>
              <w:fldChar w:fldCharType="separate"/>
            </w:r>
            <w:r w:rsidR="001E2A03">
              <w:rPr>
                <w:webHidden/>
              </w:rPr>
              <w:t>5</w:t>
            </w:r>
            <w:r w:rsidR="005371FF" w:rsidRPr="005371FF">
              <w:rPr>
                <w:webHidden/>
              </w:rPr>
              <w:fldChar w:fldCharType="end"/>
            </w:r>
          </w:hyperlink>
        </w:p>
        <w:p w14:paraId="647B2C35" w14:textId="1B927E92" w:rsidR="005371FF" w:rsidRPr="005371FF" w:rsidRDefault="00000000">
          <w:pPr>
            <w:pStyle w:val="TOC2"/>
            <w:rPr>
              <w:rFonts w:eastAsiaTheme="minorEastAsia"/>
              <w:b w:val="0"/>
              <w:bCs w:val="0"/>
              <w:sz w:val="24"/>
              <w:szCs w:val="24"/>
              <w:lang w:eastAsia="de-DE"/>
            </w:rPr>
          </w:pPr>
          <w:hyperlink w:anchor="_Toc165488524" w:history="1">
            <w:r w:rsidR="005371FF" w:rsidRPr="005371FF">
              <w:rPr>
                <w:rStyle w:val="Hyperlink"/>
              </w:rPr>
              <w:t>Geschichte: Story</w:t>
            </w:r>
            <w:r w:rsidR="005371FF" w:rsidRPr="005371FF">
              <w:rPr>
                <w:webHidden/>
              </w:rPr>
              <w:tab/>
            </w:r>
            <w:r w:rsidR="005371FF" w:rsidRPr="005371FF">
              <w:rPr>
                <w:webHidden/>
              </w:rPr>
              <w:fldChar w:fldCharType="begin"/>
            </w:r>
            <w:r w:rsidR="005371FF" w:rsidRPr="005371FF">
              <w:rPr>
                <w:webHidden/>
              </w:rPr>
              <w:instrText xml:space="preserve"> PAGEREF _Toc165488524 \h </w:instrText>
            </w:r>
            <w:r w:rsidR="005371FF" w:rsidRPr="005371FF">
              <w:rPr>
                <w:webHidden/>
              </w:rPr>
            </w:r>
            <w:r w:rsidR="005371FF" w:rsidRPr="005371FF">
              <w:rPr>
                <w:webHidden/>
              </w:rPr>
              <w:fldChar w:fldCharType="separate"/>
            </w:r>
            <w:r w:rsidR="001E2A03">
              <w:rPr>
                <w:webHidden/>
              </w:rPr>
              <w:t>6</w:t>
            </w:r>
            <w:r w:rsidR="005371FF" w:rsidRPr="005371FF">
              <w:rPr>
                <w:webHidden/>
              </w:rPr>
              <w:fldChar w:fldCharType="end"/>
            </w:r>
          </w:hyperlink>
        </w:p>
        <w:p w14:paraId="645BDF38" w14:textId="6709B341" w:rsidR="005371FF" w:rsidRPr="005371FF" w:rsidRDefault="00000000">
          <w:pPr>
            <w:pStyle w:val="TOC3"/>
            <w:rPr>
              <w:rFonts w:ascii="Geliat ExtraLight" w:eastAsiaTheme="minorEastAsia" w:hAnsi="Geliat ExtraLight"/>
              <w:noProof/>
              <w:sz w:val="24"/>
              <w:szCs w:val="24"/>
              <w:lang w:eastAsia="de-DE"/>
            </w:rPr>
          </w:pPr>
          <w:hyperlink w:anchor="_Toc165488525" w:history="1">
            <w:r w:rsidR="005371FF" w:rsidRPr="005371FF">
              <w:rPr>
                <w:rStyle w:val="Hyperlink"/>
                <w:rFonts w:ascii="Geliat ExtraLight" w:hAnsi="Geliat ExtraLight"/>
                <w:noProof/>
              </w:rPr>
              <w:t>Geschichte aus der Kolonialist-Perspektive:</w:t>
            </w:r>
            <w:r w:rsidR="005371FF" w:rsidRPr="005371FF">
              <w:rPr>
                <w:rFonts w:ascii="Geliat ExtraLight" w:hAnsi="Geliat ExtraLight"/>
                <w:noProof/>
                <w:webHidden/>
              </w:rPr>
              <w:tab/>
            </w:r>
            <w:r w:rsidR="005371FF" w:rsidRPr="005371FF">
              <w:rPr>
                <w:rFonts w:ascii="Geliat ExtraLight" w:hAnsi="Geliat ExtraLight"/>
                <w:noProof/>
                <w:webHidden/>
              </w:rPr>
              <w:fldChar w:fldCharType="begin"/>
            </w:r>
            <w:r w:rsidR="005371FF" w:rsidRPr="005371FF">
              <w:rPr>
                <w:rFonts w:ascii="Geliat ExtraLight" w:hAnsi="Geliat ExtraLight"/>
                <w:noProof/>
                <w:webHidden/>
              </w:rPr>
              <w:instrText xml:space="preserve"> PAGEREF _Toc165488525 \h </w:instrText>
            </w:r>
            <w:r w:rsidR="005371FF" w:rsidRPr="005371FF">
              <w:rPr>
                <w:rFonts w:ascii="Geliat ExtraLight" w:hAnsi="Geliat ExtraLight"/>
                <w:noProof/>
                <w:webHidden/>
              </w:rPr>
            </w:r>
            <w:r w:rsidR="005371FF" w:rsidRPr="005371FF">
              <w:rPr>
                <w:rFonts w:ascii="Geliat ExtraLight" w:hAnsi="Geliat ExtraLight"/>
                <w:noProof/>
                <w:webHidden/>
              </w:rPr>
              <w:fldChar w:fldCharType="separate"/>
            </w:r>
            <w:r w:rsidR="001E2A03">
              <w:rPr>
                <w:rFonts w:ascii="Geliat ExtraLight" w:hAnsi="Geliat ExtraLight"/>
                <w:noProof/>
                <w:webHidden/>
              </w:rPr>
              <w:t>6</w:t>
            </w:r>
            <w:r w:rsidR="005371FF" w:rsidRPr="005371FF">
              <w:rPr>
                <w:rFonts w:ascii="Geliat ExtraLight" w:hAnsi="Geliat ExtraLight"/>
                <w:noProof/>
                <w:webHidden/>
              </w:rPr>
              <w:fldChar w:fldCharType="end"/>
            </w:r>
          </w:hyperlink>
        </w:p>
        <w:p w14:paraId="338F4BC0" w14:textId="6B61A436" w:rsidR="005371FF" w:rsidRPr="005371FF" w:rsidRDefault="00000000">
          <w:pPr>
            <w:pStyle w:val="TOC3"/>
            <w:rPr>
              <w:rFonts w:ascii="Geliat ExtraLight" w:eastAsiaTheme="minorEastAsia" w:hAnsi="Geliat ExtraLight"/>
              <w:noProof/>
              <w:sz w:val="24"/>
              <w:szCs w:val="24"/>
              <w:lang w:eastAsia="de-DE"/>
            </w:rPr>
          </w:pPr>
          <w:hyperlink w:anchor="_Toc165488526" w:history="1">
            <w:r w:rsidR="005371FF" w:rsidRPr="005371FF">
              <w:rPr>
                <w:rStyle w:val="Hyperlink"/>
                <w:rFonts w:ascii="Geliat ExtraLight" w:hAnsi="Geliat ExtraLight"/>
                <w:noProof/>
              </w:rPr>
              <w:t>Geschichte aus der Sklaven-Perspektive:</w:t>
            </w:r>
            <w:r w:rsidR="005371FF" w:rsidRPr="005371FF">
              <w:rPr>
                <w:rFonts w:ascii="Geliat ExtraLight" w:hAnsi="Geliat ExtraLight"/>
                <w:noProof/>
                <w:webHidden/>
              </w:rPr>
              <w:tab/>
            </w:r>
            <w:r w:rsidR="005371FF" w:rsidRPr="005371FF">
              <w:rPr>
                <w:rFonts w:ascii="Geliat ExtraLight" w:hAnsi="Geliat ExtraLight"/>
                <w:noProof/>
                <w:webHidden/>
              </w:rPr>
              <w:fldChar w:fldCharType="begin"/>
            </w:r>
            <w:r w:rsidR="005371FF" w:rsidRPr="005371FF">
              <w:rPr>
                <w:rFonts w:ascii="Geliat ExtraLight" w:hAnsi="Geliat ExtraLight"/>
                <w:noProof/>
                <w:webHidden/>
              </w:rPr>
              <w:instrText xml:space="preserve"> PAGEREF _Toc165488526 \h </w:instrText>
            </w:r>
            <w:r w:rsidR="005371FF" w:rsidRPr="005371FF">
              <w:rPr>
                <w:rFonts w:ascii="Geliat ExtraLight" w:hAnsi="Geliat ExtraLight"/>
                <w:noProof/>
                <w:webHidden/>
              </w:rPr>
            </w:r>
            <w:r w:rsidR="005371FF" w:rsidRPr="005371FF">
              <w:rPr>
                <w:rFonts w:ascii="Geliat ExtraLight" w:hAnsi="Geliat ExtraLight"/>
                <w:noProof/>
                <w:webHidden/>
              </w:rPr>
              <w:fldChar w:fldCharType="separate"/>
            </w:r>
            <w:r w:rsidR="001E2A03">
              <w:rPr>
                <w:rFonts w:ascii="Geliat ExtraLight" w:hAnsi="Geliat ExtraLight"/>
                <w:noProof/>
                <w:webHidden/>
              </w:rPr>
              <w:t>6</w:t>
            </w:r>
            <w:r w:rsidR="005371FF" w:rsidRPr="005371FF">
              <w:rPr>
                <w:rFonts w:ascii="Geliat ExtraLight" w:hAnsi="Geliat ExtraLight"/>
                <w:noProof/>
                <w:webHidden/>
              </w:rPr>
              <w:fldChar w:fldCharType="end"/>
            </w:r>
          </w:hyperlink>
        </w:p>
        <w:p w14:paraId="1B59C784" w14:textId="554825AC" w:rsidR="005371FF" w:rsidRPr="005371FF" w:rsidRDefault="00000000">
          <w:pPr>
            <w:pStyle w:val="TOC3"/>
            <w:rPr>
              <w:rFonts w:ascii="Geliat ExtraLight" w:eastAsiaTheme="minorEastAsia" w:hAnsi="Geliat ExtraLight"/>
              <w:noProof/>
              <w:sz w:val="24"/>
              <w:szCs w:val="24"/>
              <w:lang w:eastAsia="de-DE"/>
            </w:rPr>
          </w:pPr>
          <w:hyperlink w:anchor="_Toc165488527" w:history="1">
            <w:r w:rsidR="005371FF" w:rsidRPr="005371FF">
              <w:rPr>
                <w:rStyle w:val="Hyperlink"/>
                <w:rFonts w:ascii="Geliat ExtraLight" w:hAnsi="Geliat ExtraLight"/>
                <w:noProof/>
              </w:rPr>
              <w:t>Alternative Enden</w:t>
            </w:r>
            <w:r w:rsidR="005371FF" w:rsidRPr="005371FF">
              <w:rPr>
                <w:rFonts w:ascii="Geliat ExtraLight" w:hAnsi="Geliat ExtraLight"/>
                <w:noProof/>
                <w:webHidden/>
              </w:rPr>
              <w:tab/>
            </w:r>
            <w:r w:rsidR="005371FF" w:rsidRPr="005371FF">
              <w:rPr>
                <w:rFonts w:ascii="Geliat ExtraLight" w:hAnsi="Geliat ExtraLight"/>
                <w:noProof/>
                <w:webHidden/>
              </w:rPr>
              <w:fldChar w:fldCharType="begin"/>
            </w:r>
            <w:r w:rsidR="005371FF" w:rsidRPr="005371FF">
              <w:rPr>
                <w:rFonts w:ascii="Geliat ExtraLight" w:hAnsi="Geliat ExtraLight"/>
                <w:noProof/>
                <w:webHidden/>
              </w:rPr>
              <w:instrText xml:space="preserve"> PAGEREF _Toc165488527 \h </w:instrText>
            </w:r>
            <w:r w:rsidR="005371FF" w:rsidRPr="005371FF">
              <w:rPr>
                <w:rFonts w:ascii="Geliat ExtraLight" w:hAnsi="Geliat ExtraLight"/>
                <w:noProof/>
                <w:webHidden/>
              </w:rPr>
            </w:r>
            <w:r w:rsidR="005371FF" w:rsidRPr="005371FF">
              <w:rPr>
                <w:rFonts w:ascii="Geliat ExtraLight" w:hAnsi="Geliat ExtraLight"/>
                <w:noProof/>
                <w:webHidden/>
              </w:rPr>
              <w:fldChar w:fldCharType="separate"/>
            </w:r>
            <w:r w:rsidR="001E2A03">
              <w:rPr>
                <w:rFonts w:ascii="Geliat ExtraLight" w:hAnsi="Geliat ExtraLight"/>
                <w:noProof/>
                <w:webHidden/>
              </w:rPr>
              <w:t>7</w:t>
            </w:r>
            <w:r w:rsidR="005371FF" w:rsidRPr="005371FF">
              <w:rPr>
                <w:rFonts w:ascii="Geliat ExtraLight" w:hAnsi="Geliat ExtraLight"/>
                <w:noProof/>
                <w:webHidden/>
              </w:rPr>
              <w:fldChar w:fldCharType="end"/>
            </w:r>
          </w:hyperlink>
        </w:p>
        <w:p w14:paraId="5E47C05C" w14:textId="0A0235DE" w:rsidR="005371FF" w:rsidRPr="005371FF" w:rsidRDefault="00000000">
          <w:pPr>
            <w:pStyle w:val="TOC3"/>
            <w:rPr>
              <w:rFonts w:ascii="Geliat ExtraLight" w:eastAsiaTheme="minorEastAsia" w:hAnsi="Geliat ExtraLight"/>
              <w:noProof/>
              <w:sz w:val="24"/>
              <w:szCs w:val="24"/>
              <w:lang w:eastAsia="de-DE"/>
            </w:rPr>
          </w:pPr>
          <w:hyperlink w:anchor="_Toc165488528" w:history="1">
            <w:r w:rsidR="005371FF" w:rsidRPr="005371FF">
              <w:rPr>
                <w:rStyle w:val="Hyperlink"/>
                <w:rFonts w:ascii="Geliat ExtraLight" w:hAnsi="Geliat ExtraLight"/>
                <w:noProof/>
              </w:rPr>
              <w:t>Zeitliche Einordnung</w:t>
            </w:r>
            <w:r w:rsidR="005371FF" w:rsidRPr="005371FF">
              <w:rPr>
                <w:rFonts w:ascii="Geliat ExtraLight" w:hAnsi="Geliat ExtraLight"/>
                <w:noProof/>
                <w:webHidden/>
              </w:rPr>
              <w:tab/>
            </w:r>
            <w:r w:rsidR="005371FF" w:rsidRPr="005371FF">
              <w:rPr>
                <w:rFonts w:ascii="Geliat ExtraLight" w:hAnsi="Geliat ExtraLight"/>
                <w:noProof/>
                <w:webHidden/>
              </w:rPr>
              <w:fldChar w:fldCharType="begin"/>
            </w:r>
            <w:r w:rsidR="005371FF" w:rsidRPr="005371FF">
              <w:rPr>
                <w:rFonts w:ascii="Geliat ExtraLight" w:hAnsi="Geliat ExtraLight"/>
                <w:noProof/>
                <w:webHidden/>
              </w:rPr>
              <w:instrText xml:space="preserve"> PAGEREF _Toc165488528 \h </w:instrText>
            </w:r>
            <w:r w:rsidR="005371FF" w:rsidRPr="005371FF">
              <w:rPr>
                <w:rFonts w:ascii="Geliat ExtraLight" w:hAnsi="Geliat ExtraLight"/>
                <w:noProof/>
                <w:webHidden/>
              </w:rPr>
            </w:r>
            <w:r w:rsidR="005371FF" w:rsidRPr="005371FF">
              <w:rPr>
                <w:rFonts w:ascii="Geliat ExtraLight" w:hAnsi="Geliat ExtraLight"/>
                <w:noProof/>
                <w:webHidden/>
              </w:rPr>
              <w:fldChar w:fldCharType="separate"/>
            </w:r>
            <w:r w:rsidR="001E2A03">
              <w:rPr>
                <w:rFonts w:ascii="Geliat ExtraLight" w:hAnsi="Geliat ExtraLight"/>
                <w:noProof/>
                <w:webHidden/>
              </w:rPr>
              <w:t>7</w:t>
            </w:r>
            <w:r w:rsidR="005371FF" w:rsidRPr="005371FF">
              <w:rPr>
                <w:rFonts w:ascii="Geliat ExtraLight" w:hAnsi="Geliat ExtraLight"/>
                <w:noProof/>
                <w:webHidden/>
              </w:rPr>
              <w:fldChar w:fldCharType="end"/>
            </w:r>
          </w:hyperlink>
        </w:p>
        <w:p w14:paraId="01AB661D" w14:textId="56E9E15B" w:rsidR="005371FF" w:rsidRPr="005371FF" w:rsidRDefault="00000000">
          <w:pPr>
            <w:pStyle w:val="TOC3"/>
            <w:rPr>
              <w:rFonts w:ascii="Geliat ExtraLight" w:eastAsiaTheme="minorEastAsia" w:hAnsi="Geliat ExtraLight"/>
              <w:noProof/>
              <w:sz w:val="24"/>
              <w:szCs w:val="24"/>
              <w:lang w:eastAsia="de-DE"/>
            </w:rPr>
          </w:pPr>
          <w:hyperlink w:anchor="_Toc165488529" w:history="1">
            <w:r w:rsidR="005371FF" w:rsidRPr="005371FF">
              <w:rPr>
                <w:rStyle w:val="Hyperlink"/>
                <w:rFonts w:ascii="Geliat ExtraLight" w:hAnsi="Geliat ExtraLight"/>
                <w:noProof/>
              </w:rPr>
              <w:t>Begr</w:t>
            </w:r>
            <w:r w:rsidR="005371FF" w:rsidRPr="005371FF">
              <w:rPr>
                <w:rStyle w:val="Hyperlink"/>
                <w:rFonts w:ascii="Geliat ExtraLight" w:hAnsi="Geliat ExtraLight" w:cs="Cambria"/>
                <w:noProof/>
              </w:rPr>
              <w:t>ü</w:t>
            </w:r>
            <w:r w:rsidR="005371FF" w:rsidRPr="005371FF">
              <w:rPr>
                <w:rStyle w:val="Hyperlink"/>
                <w:rFonts w:ascii="Geliat ExtraLight" w:hAnsi="Geliat ExtraLight"/>
                <w:noProof/>
              </w:rPr>
              <w:t>ndung f</w:t>
            </w:r>
            <w:r w:rsidR="005371FF" w:rsidRPr="005371FF">
              <w:rPr>
                <w:rStyle w:val="Hyperlink"/>
                <w:rFonts w:ascii="Geliat ExtraLight" w:hAnsi="Geliat ExtraLight" w:cs="Cambria"/>
                <w:noProof/>
              </w:rPr>
              <w:t>ü</w:t>
            </w:r>
            <w:r w:rsidR="005371FF" w:rsidRPr="005371FF">
              <w:rPr>
                <w:rStyle w:val="Hyperlink"/>
                <w:rFonts w:ascii="Geliat ExtraLight" w:hAnsi="Geliat ExtraLight"/>
                <w:noProof/>
              </w:rPr>
              <w:t>r dieses Szenario</w:t>
            </w:r>
            <w:r w:rsidR="005371FF" w:rsidRPr="005371FF">
              <w:rPr>
                <w:rFonts w:ascii="Geliat ExtraLight" w:hAnsi="Geliat ExtraLight"/>
                <w:noProof/>
                <w:webHidden/>
              </w:rPr>
              <w:tab/>
            </w:r>
            <w:r w:rsidR="005371FF" w:rsidRPr="005371FF">
              <w:rPr>
                <w:rFonts w:ascii="Geliat ExtraLight" w:hAnsi="Geliat ExtraLight"/>
                <w:noProof/>
                <w:webHidden/>
              </w:rPr>
              <w:fldChar w:fldCharType="begin"/>
            </w:r>
            <w:r w:rsidR="005371FF" w:rsidRPr="005371FF">
              <w:rPr>
                <w:rFonts w:ascii="Geliat ExtraLight" w:hAnsi="Geliat ExtraLight"/>
                <w:noProof/>
                <w:webHidden/>
              </w:rPr>
              <w:instrText xml:space="preserve"> PAGEREF _Toc165488529 \h </w:instrText>
            </w:r>
            <w:r w:rsidR="005371FF" w:rsidRPr="005371FF">
              <w:rPr>
                <w:rFonts w:ascii="Geliat ExtraLight" w:hAnsi="Geliat ExtraLight"/>
                <w:noProof/>
                <w:webHidden/>
              </w:rPr>
            </w:r>
            <w:r w:rsidR="005371FF" w:rsidRPr="005371FF">
              <w:rPr>
                <w:rFonts w:ascii="Geliat ExtraLight" w:hAnsi="Geliat ExtraLight"/>
                <w:noProof/>
                <w:webHidden/>
              </w:rPr>
              <w:fldChar w:fldCharType="separate"/>
            </w:r>
            <w:r w:rsidR="001E2A03">
              <w:rPr>
                <w:rFonts w:ascii="Geliat ExtraLight" w:hAnsi="Geliat ExtraLight"/>
                <w:noProof/>
                <w:webHidden/>
              </w:rPr>
              <w:t>7</w:t>
            </w:r>
            <w:r w:rsidR="005371FF" w:rsidRPr="005371FF">
              <w:rPr>
                <w:rFonts w:ascii="Geliat ExtraLight" w:hAnsi="Geliat ExtraLight"/>
                <w:noProof/>
                <w:webHidden/>
              </w:rPr>
              <w:fldChar w:fldCharType="end"/>
            </w:r>
          </w:hyperlink>
        </w:p>
        <w:p w14:paraId="27790E19" w14:textId="297963CA" w:rsidR="005371FF" w:rsidRPr="005371FF" w:rsidRDefault="00000000">
          <w:pPr>
            <w:pStyle w:val="TOC2"/>
            <w:rPr>
              <w:rFonts w:eastAsiaTheme="minorEastAsia"/>
              <w:b w:val="0"/>
              <w:bCs w:val="0"/>
              <w:sz w:val="24"/>
              <w:szCs w:val="24"/>
              <w:lang w:eastAsia="de-DE"/>
            </w:rPr>
          </w:pPr>
          <w:hyperlink w:anchor="_Toc165488530" w:history="1">
            <w:r w:rsidR="005371FF" w:rsidRPr="005371FF">
              <w:rPr>
                <w:rStyle w:val="Hyperlink"/>
              </w:rPr>
              <w:t>Literaturverzeichnis</w:t>
            </w:r>
            <w:r w:rsidR="005371FF" w:rsidRPr="005371FF">
              <w:rPr>
                <w:webHidden/>
              </w:rPr>
              <w:tab/>
            </w:r>
            <w:r w:rsidR="005371FF" w:rsidRPr="005371FF">
              <w:rPr>
                <w:webHidden/>
              </w:rPr>
              <w:fldChar w:fldCharType="begin"/>
            </w:r>
            <w:r w:rsidR="005371FF" w:rsidRPr="005371FF">
              <w:rPr>
                <w:webHidden/>
              </w:rPr>
              <w:instrText xml:space="preserve"> PAGEREF _Toc165488530 \h </w:instrText>
            </w:r>
            <w:r w:rsidR="005371FF" w:rsidRPr="005371FF">
              <w:rPr>
                <w:webHidden/>
              </w:rPr>
            </w:r>
            <w:r w:rsidR="005371FF" w:rsidRPr="005371FF">
              <w:rPr>
                <w:webHidden/>
              </w:rPr>
              <w:fldChar w:fldCharType="separate"/>
            </w:r>
            <w:r w:rsidR="001E2A03">
              <w:rPr>
                <w:webHidden/>
              </w:rPr>
              <w:t>8</w:t>
            </w:r>
            <w:r w:rsidR="005371FF" w:rsidRPr="005371FF">
              <w:rPr>
                <w:webHidden/>
              </w:rPr>
              <w:fldChar w:fldCharType="end"/>
            </w:r>
          </w:hyperlink>
        </w:p>
        <w:p w14:paraId="73204BAE" w14:textId="38429AA1" w:rsidR="00100106" w:rsidRPr="00AC782C" w:rsidRDefault="00AC782C" w:rsidP="005371FF">
          <w:pPr>
            <w:tabs>
              <w:tab w:val="left" w:pos="10915"/>
            </w:tabs>
            <w:ind w:right="849"/>
          </w:pPr>
          <w:r w:rsidRPr="00100106">
            <w:rPr>
              <w:rFonts w:ascii="Geliat ExtraLight" w:hAnsi="Geliat ExtraLight"/>
              <w:b/>
              <w:bCs/>
              <w:noProof/>
            </w:rPr>
            <w:fldChar w:fldCharType="end"/>
          </w:r>
        </w:p>
      </w:sdtContent>
    </w:sdt>
    <w:p w14:paraId="4EE8A091" w14:textId="77777777" w:rsidR="00843AAD" w:rsidRDefault="00843AAD" w:rsidP="00843AAD">
      <w:bookmarkStart w:id="2" w:name="_Toc165488518"/>
    </w:p>
    <w:p w14:paraId="30523BE6" w14:textId="77777777" w:rsidR="00843AAD" w:rsidRDefault="00843AAD" w:rsidP="00843AAD"/>
    <w:p w14:paraId="46005362" w14:textId="77777777" w:rsidR="00626569" w:rsidRDefault="00626569" w:rsidP="00843AAD"/>
    <w:p w14:paraId="27EA98F9" w14:textId="69C89428" w:rsidR="00B32EB2" w:rsidRPr="00D23AA9" w:rsidRDefault="00B32EB2" w:rsidP="00B32EB2">
      <w:pPr>
        <w:pStyle w:val="Heading2"/>
      </w:pPr>
      <w:r w:rsidRPr="00D23AA9">
        <w:lastRenderedPageBreak/>
        <w:t>Die Eroberung Namibias</w:t>
      </w:r>
      <w:bookmarkEnd w:id="2"/>
    </w:p>
    <w:p w14:paraId="6DFB5D0C" w14:textId="3F296AE7" w:rsidR="00B32EB2" w:rsidRDefault="00B32EB2" w:rsidP="00B32EB2">
      <w:pPr>
        <w:spacing w:line="360" w:lineRule="auto"/>
        <w:ind w:left="567" w:right="566"/>
        <w:rPr>
          <w:sz w:val="24"/>
          <w:szCs w:val="24"/>
        </w:rPr>
      </w:pPr>
      <w:r w:rsidRPr="00D23AA9">
        <w:rPr>
          <w:sz w:val="24"/>
          <w:szCs w:val="24"/>
        </w:rPr>
        <w:t xml:space="preserve">In den 1840er-Jahren </w:t>
      </w:r>
      <w:r w:rsidR="0018136C">
        <w:rPr>
          <w:sz w:val="24"/>
          <w:szCs w:val="24"/>
        </w:rPr>
        <w:t>trafen</w:t>
      </w:r>
      <w:r w:rsidRPr="00D23AA9">
        <w:rPr>
          <w:sz w:val="24"/>
          <w:szCs w:val="24"/>
        </w:rPr>
        <w:t xml:space="preserve"> Missionare der Rheinischen Missionsgesellschaft aus Deutschland i</w:t>
      </w:r>
      <w:r w:rsidR="005371FF">
        <w:rPr>
          <w:sz w:val="24"/>
          <w:szCs w:val="24"/>
        </w:rPr>
        <w:t>n dem</w:t>
      </w:r>
      <w:r w:rsidRPr="00D23AA9">
        <w:rPr>
          <w:sz w:val="24"/>
          <w:szCs w:val="24"/>
        </w:rPr>
        <w:t xml:space="preserve"> Gebiet </w:t>
      </w:r>
      <w:r w:rsidR="0018136C">
        <w:rPr>
          <w:sz w:val="24"/>
          <w:szCs w:val="24"/>
        </w:rPr>
        <w:t>ein</w:t>
      </w:r>
      <w:r w:rsidRPr="00D23AA9">
        <w:rPr>
          <w:sz w:val="24"/>
          <w:szCs w:val="24"/>
        </w:rPr>
        <w:t xml:space="preserve">, </w:t>
      </w:r>
      <w:r w:rsidR="005371FF">
        <w:rPr>
          <w:sz w:val="24"/>
          <w:szCs w:val="24"/>
        </w:rPr>
        <w:t>welches</w:t>
      </w:r>
      <w:r w:rsidRPr="00D23AA9">
        <w:rPr>
          <w:sz w:val="24"/>
          <w:szCs w:val="24"/>
        </w:rPr>
        <w:t xml:space="preserve"> wir heute als Namibia kennen.</w:t>
      </w:r>
      <w:r>
        <w:rPr>
          <w:sz w:val="24"/>
          <w:szCs w:val="24"/>
        </w:rPr>
        <w:t xml:space="preserve"> 1883 unterzeichnete Adolf Lüderitz, einer der ersten bekannten deutschen Kolonialisten, einen Vertrag mit dem sogenannten „Kaptein“, dem traditionellen Führer, damals Josef Fredericks von Bethanie. </w:t>
      </w:r>
    </w:p>
    <w:p w14:paraId="5F2D9855" w14:textId="710B1F72" w:rsidR="00B32EB2" w:rsidRDefault="00B32EB2" w:rsidP="00B32EB2">
      <w:pPr>
        <w:spacing w:line="360" w:lineRule="auto"/>
        <w:ind w:left="567" w:right="566"/>
        <w:rPr>
          <w:sz w:val="24"/>
          <w:szCs w:val="24"/>
        </w:rPr>
      </w:pPr>
      <w:r>
        <w:rPr>
          <w:sz w:val="24"/>
          <w:szCs w:val="24"/>
        </w:rPr>
        <w:t>Dieser Vertrag räumte Lüderitz Rechte an dem Gebiet rund um den Hafen „</w:t>
      </w:r>
      <w:proofErr w:type="spellStart"/>
      <w:r>
        <w:rPr>
          <w:sz w:val="24"/>
          <w:szCs w:val="24"/>
        </w:rPr>
        <w:t>Angra</w:t>
      </w:r>
      <w:proofErr w:type="spellEnd"/>
      <w:r>
        <w:rPr>
          <w:sz w:val="24"/>
          <w:szCs w:val="24"/>
        </w:rPr>
        <w:t xml:space="preserve"> </w:t>
      </w:r>
      <w:proofErr w:type="spellStart"/>
      <w:r>
        <w:rPr>
          <w:sz w:val="24"/>
          <w:szCs w:val="24"/>
        </w:rPr>
        <w:t>Pequena</w:t>
      </w:r>
      <w:proofErr w:type="spellEnd"/>
      <w:r>
        <w:rPr>
          <w:sz w:val="24"/>
          <w:szCs w:val="24"/>
        </w:rPr>
        <w:t xml:space="preserve">“ ein. Nach der Berliner Konferenz 1884/85 wurde aus Namibia ein Schutzgebiet des Deutschen Reiches, bekannt als Deutsch-Südwestafrika. Die einheimische Bevölkerung </w:t>
      </w:r>
      <w:r w:rsidR="0018136C">
        <w:rPr>
          <w:sz w:val="24"/>
          <w:szCs w:val="24"/>
        </w:rPr>
        <w:t>war</w:t>
      </w:r>
      <w:r>
        <w:rPr>
          <w:sz w:val="24"/>
          <w:szCs w:val="24"/>
        </w:rPr>
        <w:t xml:space="preserve"> nicht im Entscheidungsprozess eingebunden.</w:t>
      </w:r>
    </w:p>
    <w:p w14:paraId="7339E232" w14:textId="710DCC47" w:rsidR="00B32EB2" w:rsidRDefault="00B32EB2" w:rsidP="00B32EB2">
      <w:pPr>
        <w:spacing w:line="360" w:lineRule="auto"/>
        <w:ind w:left="567" w:right="566"/>
        <w:rPr>
          <w:sz w:val="24"/>
          <w:szCs w:val="24"/>
        </w:rPr>
      </w:pPr>
      <w:r>
        <w:rPr>
          <w:sz w:val="24"/>
          <w:szCs w:val="24"/>
        </w:rPr>
        <w:t>Deutschland erhielt 1890 durch den deutsch-britischen Helgoland-Sansibar-Vertrag Zugang zum Sambesi-Fluss. Im heutigen Grenzverlauf ist der 30</w:t>
      </w:r>
      <w:r w:rsidR="005371FF">
        <w:rPr>
          <w:sz w:val="24"/>
          <w:szCs w:val="24"/>
        </w:rPr>
        <w:t xml:space="preserve"> </w:t>
      </w:r>
      <w:r>
        <w:rPr>
          <w:sz w:val="24"/>
          <w:szCs w:val="24"/>
        </w:rPr>
        <w:t>km breite Landstreifen (Caprivi-Streifen) deutlich zu sehen.</w:t>
      </w:r>
    </w:p>
    <w:p w14:paraId="0EA798E5" w14:textId="75E151AF" w:rsidR="00B32EB2" w:rsidRDefault="00B32EB2" w:rsidP="00B32EB2">
      <w:pPr>
        <w:spacing w:line="360" w:lineRule="auto"/>
        <w:ind w:left="567" w:right="566"/>
        <w:rPr>
          <w:sz w:val="24"/>
          <w:szCs w:val="24"/>
        </w:rPr>
      </w:pPr>
      <w:r>
        <w:rPr>
          <w:sz w:val="24"/>
          <w:szCs w:val="24"/>
        </w:rPr>
        <w:t xml:space="preserve">Die Spannungen zwischen den deutschen Siedlern und der lokalen Bevölkerung nahmen zu, es kam zu Gefechten. Der </w:t>
      </w:r>
      <w:proofErr w:type="spellStart"/>
      <w:r>
        <w:rPr>
          <w:sz w:val="24"/>
          <w:szCs w:val="24"/>
        </w:rPr>
        <w:t>Nama</w:t>
      </w:r>
      <w:proofErr w:type="spellEnd"/>
      <w:r>
        <w:rPr>
          <w:sz w:val="24"/>
          <w:szCs w:val="24"/>
        </w:rPr>
        <w:t xml:space="preserve">-Anführer Hendrik </w:t>
      </w:r>
      <w:proofErr w:type="spellStart"/>
      <w:r>
        <w:rPr>
          <w:sz w:val="24"/>
          <w:szCs w:val="24"/>
        </w:rPr>
        <w:t>Witbooi</w:t>
      </w:r>
      <w:proofErr w:type="spellEnd"/>
      <w:r>
        <w:rPr>
          <w:sz w:val="24"/>
          <w:szCs w:val="24"/>
        </w:rPr>
        <w:t xml:space="preserve"> wurde von Männern des deutschen Gouverneurs, Curt von Francois, angegriffen. Im Dorf Hornkranz kam es zu Massakern an Frauen, Kindern und ältere Menschen. Es </w:t>
      </w:r>
      <w:r w:rsidR="0018136C">
        <w:rPr>
          <w:sz w:val="24"/>
          <w:szCs w:val="24"/>
        </w:rPr>
        <w:t>wurde</w:t>
      </w:r>
      <w:r>
        <w:rPr>
          <w:sz w:val="24"/>
          <w:szCs w:val="24"/>
        </w:rPr>
        <w:t xml:space="preserve"> Vergeltung ausgeübt, indem die Transportwege von Swakopmund (Küste) bis nach Windhuk (Zentrum) unterbrochen </w:t>
      </w:r>
      <w:r w:rsidR="0018136C">
        <w:rPr>
          <w:sz w:val="24"/>
          <w:szCs w:val="24"/>
        </w:rPr>
        <w:t>wurden</w:t>
      </w:r>
      <w:r>
        <w:rPr>
          <w:sz w:val="24"/>
          <w:szCs w:val="24"/>
        </w:rPr>
        <w:t>.</w:t>
      </w:r>
    </w:p>
    <w:p w14:paraId="4EA13F10" w14:textId="1968C52B" w:rsidR="00B32EB2" w:rsidRDefault="00B32EB2" w:rsidP="00B32EB2">
      <w:pPr>
        <w:spacing w:line="360" w:lineRule="auto"/>
        <w:ind w:left="567" w:right="566"/>
        <w:rPr>
          <w:sz w:val="24"/>
          <w:szCs w:val="24"/>
        </w:rPr>
      </w:pPr>
      <w:r>
        <w:rPr>
          <w:sz w:val="24"/>
          <w:szCs w:val="24"/>
        </w:rPr>
        <w:t xml:space="preserve">Von Francois </w:t>
      </w:r>
      <w:r w:rsidR="0018136C">
        <w:rPr>
          <w:sz w:val="24"/>
          <w:szCs w:val="24"/>
        </w:rPr>
        <w:t>wurde</w:t>
      </w:r>
      <w:r>
        <w:rPr>
          <w:sz w:val="24"/>
          <w:szCs w:val="24"/>
        </w:rPr>
        <w:t xml:space="preserve"> 1894 als Gouverneur von Deutsch-Südwestafrika von Theodor </w:t>
      </w:r>
      <w:proofErr w:type="spellStart"/>
      <w:r>
        <w:rPr>
          <w:sz w:val="24"/>
          <w:szCs w:val="24"/>
        </w:rPr>
        <w:t>Leutwein</w:t>
      </w:r>
      <w:proofErr w:type="spellEnd"/>
      <w:r>
        <w:rPr>
          <w:sz w:val="24"/>
          <w:szCs w:val="24"/>
        </w:rPr>
        <w:t xml:space="preserve"> abgelöst. Dieser handelte Schutzverträge mit Gemeinden aus, wobei die Gemeinden, die sich d</w:t>
      </w:r>
      <w:r w:rsidR="005371FF">
        <w:rPr>
          <w:sz w:val="24"/>
          <w:szCs w:val="24"/>
        </w:rPr>
        <w:t xml:space="preserve">en Deutschen </w:t>
      </w:r>
      <w:r>
        <w:rPr>
          <w:sz w:val="24"/>
          <w:szCs w:val="24"/>
        </w:rPr>
        <w:t>nicht unterw</w:t>
      </w:r>
      <w:r w:rsidR="005371FF">
        <w:rPr>
          <w:sz w:val="24"/>
          <w:szCs w:val="24"/>
        </w:rPr>
        <w:t>a</w:t>
      </w:r>
      <w:r>
        <w:rPr>
          <w:sz w:val="24"/>
          <w:szCs w:val="24"/>
        </w:rPr>
        <w:t xml:space="preserve">rfen, angegriffen wurden. </w:t>
      </w:r>
      <w:proofErr w:type="spellStart"/>
      <w:r>
        <w:rPr>
          <w:sz w:val="24"/>
          <w:szCs w:val="24"/>
        </w:rPr>
        <w:t>Witbooi</w:t>
      </w:r>
      <w:proofErr w:type="spellEnd"/>
      <w:r>
        <w:rPr>
          <w:sz w:val="24"/>
          <w:szCs w:val="24"/>
        </w:rPr>
        <w:t xml:space="preserve"> unterschrieb einen Schutzvertrag.</w:t>
      </w:r>
    </w:p>
    <w:p w14:paraId="1AFD39A8" w14:textId="31EA3437" w:rsidR="00B32EB2" w:rsidRDefault="00B32EB2" w:rsidP="00B32EB2">
      <w:pPr>
        <w:spacing w:line="360" w:lineRule="auto"/>
        <w:ind w:left="567" w:right="566"/>
        <w:rPr>
          <w:sz w:val="24"/>
          <w:szCs w:val="24"/>
        </w:rPr>
      </w:pPr>
      <w:r>
        <w:rPr>
          <w:sz w:val="24"/>
          <w:szCs w:val="24"/>
        </w:rPr>
        <w:t xml:space="preserve">Das Deutsche Reich war mit den Aufständen nicht glücklich, deswegen </w:t>
      </w:r>
      <w:r w:rsidR="0018136C">
        <w:rPr>
          <w:sz w:val="24"/>
          <w:szCs w:val="24"/>
        </w:rPr>
        <w:t>wurde</w:t>
      </w:r>
      <w:r>
        <w:rPr>
          <w:sz w:val="24"/>
          <w:szCs w:val="24"/>
        </w:rPr>
        <w:t xml:space="preserve"> ein Jahr später die deutsche Schutztruppe gegründet. Es sollten die deutschen Interessen in Südwestafrika verteidigt und der Widerstand gegen die Kolonialverwaltung unterdrückt werden. </w:t>
      </w:r>
    </w:p>
    <w:p w14:paraId="4534096E" w14:textId="410A78B6" w:rsidR="00B32EB2" w:rsidRDefault="00B32EB2" w:rsidP="005371FF">
      <w:pPr>
        <w:spacing w:line="360" w:lineRule="auto"/>
        <w:ind w:left="567" w:right="566"/>
        <w:rPr>
          <w:sz w:val="24"/>
          <w:szCs w:val="24"/>
        </w:rPr>
      </w:pPr>
      <w:r>
        <w:rPr>
          <w:sz w:val="24"/>
          <w:szCs w:val="24"/>
        </w:rPr>
        <w:t xml:space="preserve">In der Schlacht am Waterberg im August 1904 errungen deutsche Truppen, unter der Führung von Generalleutnant Lothar von Trotha, einen entscheidenden Sieg über die Herero-Rebellen. Jeder Herero, der von Deutschen angetroffen </w:t>
      </w:r>
      <w:r w:rsidR="0018136C">
        <w:rPr>
          <w:sz w:val="24"/>
          <w:szCs w:val="24"/>
        </w:rPr>
        <w:t>wurde</w:t>
      </w:r>
      <w:r>
        <w:rPr>
          <w:sz w:val="24"/>
          <w:szCs w:val="24"/>
        </w:rPr>
        <w:t>, soll</w:t>
      </w:r>
      <w:r w:rsidR="0018136C">
        <w:rPr>
          <w:sz w:val="24"/>
          <w:szCs w:val="24"/>
        </w:rPr>
        <w:t>te</w:t>
      </w:r>
      <w:r>
        <w:rPr>
          <w:sz w:val="24"/>
          <w:szCs w:val="24"/>
        </w:rPr>
        <w:t xml:space="preserve"> hingerichtet werden. Es </w:t>
      </w:r>
      <w:r w:rsidR="0018136C">
        <w:rPr>
          <w:sz w:val="24"/>
          <w:szCs w:val="24"/>
        </w:rPr>
        <w:t>kam</w:t>
      </w:r>
      <w:r>
        <w:rPr>
          <w:sz w:val="24"/>
          <w:szCs w:val="24"/>
        </w:rPr>
        <w:t xml:space="preserve"> zum Massaker an Herero und </w:t>
      </w:r>
      <w:proofErr w:type="spellStart"/>
      <w:r>
        <w:rPr>
          <w:sz w:val="24"/>
          <w:szCs w:val="24"/>
        </w:rPr>
        <w:t>Nama</w:t>
      </w:r>
      <w:proofErr w:type="spellEnd"/>
      <w:r>
        <w:rPr>
          <w:sz w:val="24"/>
          <w:szCs w:val="24"/>
        </w:rPr>
        <w:t>, da 120 Deutsche durch Einheimische getötet w</w:t>
      </w:r>
      <w:r w:rsidR="0018136C">
        <w:rPr>
          <w:sz w:val="24"/>
          <w:szCs w:val="24"/>
        </w:rPr>
        <w:t>urden</w:t>
      </w:r>
      <w:r>
        <w:rPr>
          <w:sz w:val="24"/>
          <w:szCs w:val="24"/>
        </w:rPr>
        <w:t>. Die Herero wurden vertrieben.</w:t>
      </w:r>
    </w:p>
    <w:p w14:paraId="785A8F1C" w14:textId="2B3A890E" w:rsidR="00B32EB2" w:rsidRDefault="00B32EB2" w:rsidP="00B32EB2">
      <w:pPr>
        <w:spacing w:line="360" w:lineRule="auto"/>
        <w:ind w:left="567" w:right="566"/>
        <w:rPr>
          <w:sz w:val="24"/>
          <w:szCs w:val="24"/>
        </w:rPr>
      </w:pPr>
      <w:r>
        <w:rPr>
          <w:sz w:val="24"/>
          <w:szCs w:val="24"/>
        </w:rPr>
        <w:t xml:space="preserve">Zwischen 1904-1908 </w:t>
      </w:r>
      <w:r w:rsidR="0018136C">
        <w:rPr>
          <w:sz w:val="24"/>
          <w:szCs w:val="24"/>
        </w:rPr>
        <w:t>gingen</w:t>
      </w:r>
      <w:r>
        <w:rPr>
          <w:sz w:val="24"/>
          <w:szCs w:val="24"/>
        </w:rPr>
        <w:t xml:space="preserve"> die Zusammenstöße zwischen den deutschen Truppen und den Herero- und </w:t>
      </w:r>
      <w:proofErr w:type="spellStart"/>
      <w:r>
        <w:rPr>
          <w:sz w:val="24"/>
          <w:szCs w:val="24"/>
        </w:rPr>
        <w:t>Nama</w:t>
      </w:r>
      <w:proofErr w:type="spellEnd"/>
      <w:r>
        <w:rPr>
          <w:sz w:val="24"/>
          <w:szCs w:val="24"/>
        </w:rPr>
        <w:t xml:space="preserve">-Rebellen weiter. Der Widerstand der Herero </w:t>
      </w:r>
      <w:r w:rsidR="0018136C">
        <w:rPr>
          <w:sz w:val="24"/>
          <w:szCs w:val="24"/>
        </w:rPr>
        <w:t>war</w:t>
      </w:r>
      <w:r>
        <w:rPr>
          <w:sz w:val="24"/>
          <w:szCs w:val="24"/>
        </w:rPr>
        <w:t xml:space="preserve"> gebrochen und die sog. Schutztruppe trieb Überlebende zusammen, um diese in Konzentrations- und Arbeitslager zu schicken, damit diese für deutsche Unternehmen arbeite</w:t>
      </w:r>
      <w:r w:rsidR="0018136C">
        <w:rPr>
          <w:sz w:val="24"/>
          <w:szCs w:val="24"/>
        </w:rPr>
        <w:t>te</w:t>
      </w:r>
      <w:r>
        <w:rPr>
          <w:sz w:val="24"/>
          <w:szCs w:val="24"/>
        </w:rPr>
        <w:t>n. Das Land der Herero wird einkassiert und unter deutschen Siedlern verteilt.</w:t>
      </w:r>
    </w:p>
    <w:p w14:paraId="45311052" w14:textId="5E6E9A1E" w:rsidR="00B32EB2" w:rsidRDefault="00B32EB2" w:rsidP="00B32EB2">
      <w:pPr>
        <w:spacing w:line="360" w:lineRule="auto"/>
        <w:ind w:left="567" w:right="566"/>
        <w:rPr>
          <w:sz w:val="24"/>
          <w:szCs w:val="24"/>
        </w:rPr>
      </w:pPr>
      <w:r>
        <w:rPr>
          <w:sz w:val="24"/>
          <w:szCs w:val="24"/>
        </w:rPr>
        <w:t xml:space="preserve">Generalleutnant Lothar von Trotha </w:t>
      </w:r>
      <w:r w:rsidR="0018136C">
        <w:rPr>
          <w:sz w:val="24"/>
          <w:szCs w:val="24"/>
        </w:rPr>
        <w:t>wurde</w:t>
      </w:r>
      <w:r>
        <w:rPr>
          <w:sz w:val="24"/>
          <w:szCs w:val="24"/>
        </w:rPr>
        <w:t xml:space="preserve"> 1907 nach Berlin zurückbeordert, dessen Methoden in Afrika und Europa verurteilt wurden. 1915 </w:t>
      </w:r>
      <w:r w:rsidR="0018136C">
        <w:rPr>
          <w:sz w:val="24"/>
          <w:szCs w:val="24"/>
        </w:rPr>
        <w:t>verlor</w:t>
      </w:r>
      <w:r>
        <w:rPr>
          <w:sz w:val="24"/>
          <w:szCs w:val="24"/>
        </w:rPr>
        <w:t xml:space="preserve"> Deutschland die Kontrolle über Südwestafrika an alliierte und</w:t>
      </w:r>
      <w:r w:rsidR="005371FF">
        <w:rPr>
          <w:sz w:val="24"/>
          <w:szCs w:val="24"/>
        </w:rPr>
        <w:t xml:space="preserve"> </w:t>
      </w:r>
      <w:r>
        <w:rPr>
          <w:sz w:val="24"/>
          <w:szCs w:val="24"/>
        </w:rPr>
        <w:lastRenderedPageBreak/>
        <w:t>südafrikanische Truppen</w:t>
      </w:r>
      <w:r w:rsidR="005849ED">
        <w:rPr>
          <w:sz w:val="24"/>
          <w:szCs w:val="24"/>
        </w:rPr>
        <w:t>.</w:t>
      </w:r>
      <w:r>
        <w:rPr>
          <w:sz w:val="24"/>
          <w:szCs w:val="24"/>
        </w:rPr>
        <w:t xml:space="preserve"> </w:t>
      </w:r>
      <w:r w:rsidR="005849ED">
        <w:rPr>
          <w:sz w:val="24"/>
          <w:szCs w:val="24"/>
        </w:rPr>
        <w:t>D</w:t>
      </w:r>
      <w:r>
        <w:rPr>
          <w:sz w:val="24"/>
          <w:szCs w:val="24"/>
        </w:rPr>
        <w:t xml:space="preserve">er Versailler Vertrag von 1919 </w:t>
      </w:r>
      <w:r w:rsidR="0018136C">
        <w:rPr>
          <w:sz w:val="24"/>
          <w:szCs w:val="24"/>
        </w:rPr>
        <w:t>zwang</w:t>
      </w:r>
      <w:r>
        <w:rPr>
          <w:sz w:val="24"/>
          <w:szCs w:val="24"/>
        </w:rPr>
        <w:t xml:space="preserve"> Deutschland dazu, seine Kolonien aufzugeben. </w:t>
      </w:r>
      <w:sdt>
        <w:sdtPr>
          <w:rPr>
            <w:sz w:val="24"/>
            <w:szCs w:val="24"/>
          </w:rPr>
          <w:id w:val="-1904278642"/>
          <w:citation/>
        </w:sdtPr>
        <w:sdtContent>
          <w:r>
            <w:rPr>
              <w:sz w:val="24"/>
              <w:szCs w:val="24"/>
            </w:rPr>
            <w:fldChar w:fldCharType="begin"/>
          </w:r>
          <w:r>
            <w:rPr>
              <w:sz w:val="24"/>
              <w:szCs w:val="24"/>
            </w:rPr>
            <w:instrText xml:space="preserve"> CITATION DWChronologie \l 1031 </w:instrText>
          </w:r>
          <w:r>
            <w:rPr>
              <w:sz w:val="24"/>
              <w:szCs w:val="24"/>
            </w:rPr>
            <w:fldChar w:fldCharType="separate"/>
          </w:r>
          <w:r w:rsidRPr="001E71B4">
            <w:rPr>
              <w:noProof/>
              <w:sz w:val="24"/>
              <w:szCs w:val="24"/>
            </w:rPr>
            <w:t>[13]</w:t>
          </w:r>
          <w:r>
            <w:rPr>
              <w:sz w:val="24"/>
              <w:szCs w:val="24"/>
            </w:rPr>
            <w:fldChar w:fldCharType="end"/>
          </w:r>
        </w:sdtContent>
      </w:sdt>
    </w:p>
    <w:p w14:paraId="064BEA0B" w14:textId="77777777" w:rsidR="00B32EB2" w:rsidRPr="002B7164" w:rsidRDefault="00B32EB2" w:rsidP="00B32EB2">
      <w:pPr>
        <w:pStyle w:val="Heading2"/>
      </w:pPr>
      <w:bookmarkStart w:id="3" w:name="_Toc165488519"/>
      <w:r w:rsidRPr="002B7164">
        <w:t>Die Unterdrückung der Namibianer</w:t>
      </w:r>
      <w:bookmarkEnd w:id="3"/>
    </w:p>
    <w:p w14:paraId="295E49B7" w14:textId="77777777" w:rsidR="00B32EB2" w:rsidRDefault="00B32EB2" w:rsidP="00B32EB2">
      <w:pPr>
        <w:spacing w:line="360" w:lineRule="auto"/>
        <w:ind w:left="567" w:right="566"/>
        <w:rPr>
          <w:sz w:val="24"/>
          <w:szCs w:val="24"/>
        </w:rPr>
      </w:pPr>
      <w:r>
        <w:rPr>
          <w:sz w:val="24"/>
          <w:szCs w:val="24"/>
        </w:rPr>
        <w:t xml:space="preserve">Von 1884 bis 1915 war das Deutsche Reich die Kolonialmacht im heutigen Namibia, damals Deutsch-Südwestafrika genannt. Die Herrschaft war geprägt von Unterdrückung, Ausbeutung und Gewalt. Es kam zu Aufständen, die auf brutale Art und Weise niedergeschlagen wurde. </w:t>
      </w:r>
    </w:p>
    <w:p w14:paraId="213EC148" w14:textId="1120E886" w:rsidR="00B32EB2" w:rsidRDefault="00B32EB2" w:rsidP="00B32EB2">
      <w:pPr>
        <w:spacing w:line="360" w:lineRule="auto"/>
        <w:ind w:left="567" w:right="566"/>
        <w:rPr>
          <w:sz w:val="24"/>
          <w:szCs w:val="24"/>
        </w:rPr>
      </w:pPr>
      <w:r>
        <w:rPr>
          <w:sz w:val="24"/>
          <w:szCs w:val="24"/>
        </w:rPr>
        <w:t>Am 2. Oktober 1914 wurde von Generalleutnant Loth</w:t>
      </w:r>
      <w:r w:rsidR="006C4A28">
        <w:rPr>
          <w:sz w:val="24"/>
          <w:szCs w:val="24"/>
        </w:rPr>
        <w:t>a</w:t>
      </w:r>
      <w:r>
        <w:rPr>
          <w:sz w:val="24"/>
          <w:szCs w:val="24"/>
        </w:rPr>
        <w:t xml:space="preserve">r von Trotha ein Vernichtungsbefehl ausgegeben, in dem </w:t>
      </w:r>
      <w:r w:rsidR="00DA1E4A">
        <w:rPr>
          <w:sz w:val="24"/>
          <w:szCs w:val="24"/>
        </w:rPr>
        <w:t>a</w:t>
      </w:r>
      <w:r>
        <w:rPr>
          <w:sz w:val="24"/>
          <w:szCs w:val="24"/>
        </w:rPr>
        <w:t xml:space="preserve">ngekündigt wurde, dass Herero das besetzte Gebiet verlassen müssen. „Innerhalb der deutschen Grenze wird jeder Herero, mit oder ohne Gewehr, mit oder ohne Vieh erschossen. Ich nehme keine Weiber und Kinder mehr auf, treibe sie zu ihrem Volk zurück oder lasse auf sie schießen.“  </w:t>
      </w:r>
      <w:sdt>
        <w:sdtPr>
          <w:rPr>
            <w:sz w:val="24"/>
            <w:szCs w:val="24"/>
          </w:rPr>
          <w:id w:val="-585077795"/>
          <w:citation/>
        </w:sdtPr>
        <w:sdtContent>
          <w:r>
            <w:rPr>
              <w:sz w:val="24"/>
              <w:szCs w:val="24"/>
            </w:rPr>
            <w:fldChar w:fldCharType="begin"/>
          </w:r>
          <w:r>
            <w:rPr>
              <w:sz w:val="24"/>
              <w:szCs w:val="24"/>
            </w:rPr>
            <w:instrText xml:space="preserve"> CITATION Deu21 \l 1031 </w:instrText>
          </w:r>
          <w:r>
            <w:rPr>
              <w:sz w:val="24"/>
              <w:szCs w:val="24"/>
            </w:rPr>
            <w:fldChar w:fldCharType="separate"/>
          </w:r>
          <w:r w:rsidRPr="001E71B4">
            <w:rPr>
              <w:noProof/>
              <w:sz w:val="24"/>
              <w:szCs w:val="24"/>
            </w:rPr>
            <w:t>[14]</w:t>
          </w:r>
          <w:r>
            <w:rPr>
              <w:sz w:val="24"/>
              <w:szCs w:val="24"/>
            </w:rPr>
            <w:fldChar w:fldCharType="end"/>
          </w:r>
        </w:sdtContent>
      </w:sdt>
    </w:p>
    <w:p w14:paraId="7F89ABC9" w14:textId="77777777" w:rsidR="00B32EB2" w:rsidRDefault="00B32EB2" w:rsidP="00B32EB2">
      <w:pPr>
        <w:spacing w:line="360" w:lineRule="auto"/>
        <w:ind w:left="567" w:right="566"/>
        <w:rPr>
          <w:sz w:val="24"/>
          <w:szCs w:val="24"/>
        </w:rPr>
      </w:pPr>
      <w:r>
        <w:rPr>
          <w:sz w:val="24"/>
          <w:szCs w:val="24"/>
        </w:rPr>
        <w:t xml:space="preserve">Die kolonialen Unterdrückungsmechanismen beinhalteten Zwangsarbeit oder sexuelle Gewalt, zudem wurden einige Herero und </w:t>
      </w:r>
      <w:proofErr w:type="spellStart"/>
      <w:r>
        <w:rPr>
          <w:sz w:val="24"/>
          <w:szCs w:val="24"/>
        </w:rPr>
        <w:t>Nama</w:t>
      </w:r>
      <w:proofErr w:type="spellEnd"/>
      <w:r>
        <w:rPr>
          <w:sz w:val="24"/>
          <w:szCs w:val="24"/>
        </w:rPr>
        <w:t xml:space="preserve"> in Konzentrationslager gebracht. </w:t>
      </w:r>
      <w:sdt>
        <w:sdtPr>
          <w:rPr>
            <w:sz w:val="24"/>
            <w:szCs w:val="24"/>
          </w:rPr>
          <w:id w:val="1649007643"/>
          <w:citation/>
        </w:sdtPr>
        <w:sdtContent>
          <w:r>
            <w:rPr>
              <w:sz w:val="24"/>
              <w:szCs w:val="24"/>
            </w:rPr>
            <w:fldChar w:fldCharType="begin"/>
          </w:r>
          <w:r>
            <w:rPr>
              <w:sz w:val="24"/>
              <w:szCs w:val="24"/>
            </w:rPr>
            <w:instrText xml:space="preserve"> CITATION Deu13 \l 1031 </w:instrText>
          </w:r>
          <w:r>
            <w:rPr>
              <w:sz w:val="24"/>
              <w:szCs w:val="24"/>
            </w:rPr>
            <w:fldChar w:fldCharType="separate"/>
          </w:r>
          <w:r w:rsidRPr="001E71B4">
            <w:rPr>
              <w:noProof/>
              <w:sz w:val="24"/>
              <w:szCs w:val="24"/>
            </w:rPr>
            <w:t>[15]</w:t>
          </w:r>
          <w:r>
            <w:rPr>
              <w:sz w:val="24"/>
              <w:szCs w:val="24"/>
            </w:rPr>
            <w:fldChar w:fldCharType="end"/>
          </w:r>
        </w:sdtContent>
      </w:sdt>
      <w:sdt>
        <w:sdtPr>
          <w:rPr>
            <w:sz w:val="24"/>
            <w:szCs w:val="24"/>
          </w:rPr>
          <w:id w:val="-1584988650"/>
          <w:citation/>
        </w:sdtPr>
        <w:sdtContent>
          <w:r>
            <w:rPr>
              <w:sz w:val="24"/>
              <w:szCs w:val="24"/>
            </w:rPr>
            <w:fldChar w:fldCharType="begin"/>
          </w:r>
          <w:r>
            <w:rPr>
              <w:sz w:val="24"/>
              <w:szCs w:val="24"/>
            </w:rPr>
            <w:instrText xml:space="preserve"> CITATION Bun22 \l 1031 </w:instrText>
          </w:r>
          <w:r>
            <w:rPr>
              <w:sz w:val="24"/>
              <w:szCs w:val="24"/>
            </w:rPr>
            <w:fldChar w:fldCharType="separate"/>
          </w:r>
          <w:r>
            <w:rPr>
              <w:noProof/>
              <w:sz w:val="24"/>
              <w:szCs w:val="24"/>
            </w:rPr>
            <w:t xml:space="preserve"> </w:t>
          </w:r>
          <w:r w:rsidRPr="001E71B4">
            <w:rPr>
              <w:noProof/>
              <w:sz w:val="24"/>
              <w:szCs w:val="24"/>
            </w:rPr>
            <w:t>[16]</w:t>
          </w:r>
          <w:r>
            <w:rPr>
              <w:sz w:val="24"/>
              <w:szCs w:val="24"/>
            </w:rPr>
            <w:fldChar w:fldCharType="end"/>
          </w:r>
        </w:sdtContent>
      </w:sdt>
    </w:p>
    <w:p w14:paraId="5F904CE8" w14:textId="77777777" w:rsidR="00B32EB2" w:rsidRDefault="00B32EB2" w:rsidP="00B32EB2">
      <w:pPr>
        <w:spacing w:line="360" w:lineRule="auto"/>
        <w:ind w:left="567" w:right="566"/>
        <w:rPr>
          <w:sz w:val="24"/>
          <w:szCs w:val="24"/>
          <w:lang w:val="de-AT"/>
        </w:rPr>
      </w:pPr>
      <w:r>
        <w:rPr>
          <w:sz w:val="24"/>
          <w:szCs w:val="24"/>
        </w:rPr>
        <w:t xml:space="preserve">Es kam zu Massenvergewaltigungen und Massakern. Tausende von Menschen wurden erhängt, wobei die Schädel der Herero und </w:t>
      </w:r>
      <w:proofErr w:type="spellStart"/>
      <w:r>
        <w:rPr>
          <w:sz w:val="24"/>
          <w:szCs w:val="24"/>
        </w:rPr>
        <w:t>Nama</w:t>
      </w:r>
      <w:proofErr w:type="spellEnd"/>
      <w:r>
        <w:rPr>
          <w:sz w:val="24"/>
          <w:szCs w:val="24"/>
        </w:rPr>
        <w:t xml:space="preserve"> gekocht wurden und die Verwandten dazu gezwungen worden sind, die Haut vom Schädel abzureißen. Die Deutschen verunreinigten und vergifteten das Wasser, sodass tausende Menschen an Krankheiten gestorben sind. Einige Herero und </w:t>
      </w:r>
      <w:proofErr w:type="spellStart"/>
      <w:r>
        <w:rPr>
          <w:sz w:val="24"/>
          <w:szCs w:val="24"/>
        </w:rPr>
        <w:t>Nama</w:t>
      </w:r>
      <w:proofErr w:type="spellEnd"/>
      <w:r>
        <w:rPr>
          <w:sz w:val="24"/>
          <w:szCs w:val="24"/>
        </w:rPr>
        <w:t xml:space="preserve"> flüchteten nach Botswana, ein Nachbarland von Namibia. </w:t>
      </w:r>
      <w:r w:rsidRPr="00C95CF4">
        <w:rPr>
          <w:sz w:val="24"/>
          <w:szCs w:val="24"/>
          <w:lang w:val="de-AT"/>
        </w:rPr>
        <w:t xml:space="preserve">Als Denkmal dient die „The Wall </w:t>
      </w:r>
      <w:proofErr w:type="spellStart"/>
      <w:r w:rsidRPr="00C95CF4">
        <w:rPr>
          <w:sz w:val="24"/>
          <w:szCs w:val="24"/>
          <w:lang w:val="de-AT"/>
        </w:rPr>
        <w:t>of</w:t>
      </w:r>
      <w:proofErr w:type="spellEnd"/>
      <w:r w:rsidRPr="00C95CF4">
        <w:rPr>
          <w:sz w:val="24"/>
          <w:szCs w:val="24"/>
          <w:lang w:val="de-AT"/>
        </w:rPr>
        <w:t xml:space="preserve"> Christ Church“ in Windhoek, wo die Namen</w:t>
      </w:r>
      <w:r>
        <w:rPr>
          <w:sz w:val="24"/>
          <w:szCs w:val="24"/>
          <w:lang w:val="de-AT"/>
        </w:rPr>
        <w:t xml:space="preserve"> der deutschen Soldaten zu finden sind, die am Völkermord beteiligt waren. </w:t>
      </w:r>
    </w:p>
    <w:p w14:paraId="3DE3491B" w14:textId="77777777" w:rsidR="00B32EB2" w:rsidRDefault="00B32EB2" w:rsidP="00B32EB2">
      <w:pPr>
        <w:spacing w:line="360" w:lineRule="auto"/>
        <w:ind w:left="567" w:right="566"/>
        <w:rPr>
          <w:sz w:val="24"/>
          <w:szCs w:val="24"/>
          <w:lang w:val="de-AT"/>
        </w:rPr>
      </w:pPr>
      <w:r>
        <w:rPr>
          <w:sz w:val="24"/>
          <w:szCs w:val="24"/>
          <w:lang w:val="de-AT"/>
        </w:rPr>
        <w:t xml:space="preserve">Nachdem Südafrika das Mandat über Namibia übernommen hatte, kam es zur Apartheid, bis Sam Nujoma gegen das System gekämpft hat, was zur Abschaffung der Apartheid und der Unabhängigkeit Namibias beigetragen hat. Ida Hoffman, eine Abgeordnete der namibischen Nationalversammlung berichtet, dass die Deutschen den </w:t>
      </w:r>
      <w:proofErr w:type="spellStart"/>
      <w:r>
        <w:rPr>
          <w:sz w:val="24"/>
          <w:szCs w:val="24"/>
          <w:lang w:val="de-AT"/>
        </w:rPr>
        <w:t>Nama</w:t>
      </w:r>
      <w:proofErr w:type="spellEnd"/>
      <w:r>
        <w:rPr>
          <w:sz w:val="24"/>
          <w:szCs w:val="24"/>
          <w:lang w:val="de-AT"/>
        </w:rPr>
        <w:t xml:space="preserve"> die Namen stahlen. </w:t>
      </w:r>
    </w:p>
    <w:p w14:paraId="3477B0FA" w14:textId="0A71336B" w:rsidR="00B32EB2" w:rsidRDefault="00B32EB2" w:rsidP="00843AAD">
      <w:pPr>
        <w:spacing w:line="360" w:lineRule="auto"/>
        <w:ind w:left="567" w:right="566"/>
        <w:rPr>
          <w:sz w:val="24"/>
          <w:szCs w:val="24"/>
          <w:lang w:val="de-AT"/>
        </w:rPr>
      </w:pPr>
      <w:r>
        <w:rPr>
          <w:sz w:val="24"/>
          <w:szCs w:val="24"/>
          <w:lang w:val="de-AT"/>
        </w:rPr>
        <w:t xml:space="preserve">Auch wenn jetzt Entwicklungshilfe von deutscher Seite geleistet wird, leben die Meisten Herero und </w:t>
      </w:r>
      <w:proofErr w:type="spellStart"/>
      <w:r>
        <w:rPr>
          <w:sz w:val="24"/>
          <w:szCs w:val="24"/>
          <w:lang w:val="de-AT"/>
        </w:rPr>
        <w:t>Nama</w:t>
      </w:r>
      <w:proofErr w:type="spellEnd"/>
      <w:r>
        <w:rPr>
          <w:sz w:val="24"/>
          <w:szCs w:val="24"/>
          <w:lang w:val="de-AT"/>
        </w:rPr>
        <w:t xml:space="preserve"> noch immer in Armut. Es fehlen in den ländlichen Teilen Namibias bis heute noch Straßen, Schulen und die generelle Infrastruktur. Armut und soziale Probleme sind ebenso noch Faktoren, die in Namibia eine Rolle spielen.  </w:t>
      </w:r>
      <w:sdt>
        <w:sdtPr>
          <w:rPr>
            <w:sz w:val="24"/>
            <w:szCs w:val="24"/>
            <w:lang w:val="de-AT"/>
          </w:rPr>
          <w:id w:val="1725334434"/>
          <w:citation/>
        </w:sdtPr>
        <w:sdtContent>
          <w:r>
            <w:rPr>
              <w:sz w:val="24"/>
              <w:szCs w:val="24"/>
              <w:lang w:val="de-AT"/>
            </w:rPr>
            <w:fldChar w:fldCharType="begin"/>
          </w:r>
          <w:r>
            <w:rPr>
              <w:sz w:val="24"/>
              <w:szCs w:val="24"/>
              <w:lang w:val="de-AT"/>
            </w:rPr>
            <w:instrText xml:space="preserve"> CITATION Yus16 \l 3079 </w:instrText>
          </w:r>
          <w:r>
            <w:rPr>
              <w:sz w:val="24"/>
              <w:szCs w:val="24"/>
              <w:lang w:val="de-AT"/>
            </w:rPr>
            <w:fldChar w:fldCharType="separate"/>
          </w:r>
          <w:r w:rsidRPr="001E71B4">
            <w:rPr>
              <w:noProof/>
              <w:sz w:val="24"/>
              <w:szCs w:val="24"/>
              <w:lang w:val="de-AT"/>
            </w:rPr>
            <w:t>[17]</w:t>
          </w:r>
          <w:r>
            <w:rPr>
              <w:sz w:val="24"/>
              <w:szCs w:val="24"/>
              <w:lang w:val="de-AT"/>
            </w:rPr>
            <w:fldChar w:fldCharType="end"/>
          </w:r>
        </w:sdtContent>
      </w:sdt>
    </w:p>
    <w:p w14:paraId="3A6126C3" w14:textId="77777777" w:rsidR="00843AAD" w:rsidRDefault="00843AAD" w:rsidP="00843AAD">
      <w:pPr>
        <w:spacing w:line="360" w:lineRule="auto"/>
        <w:ind w:left="567" w:right="566"/>
        <w:rPr>
          <w:sz w:val="24"/>
          <w:szCs w:val="24"/>
          <w:lang w:val="de-AT"/>
        </w:rPr>
      </w:pPr>
    </w:p>
    <w:p w14:paraId="20455256" w14:textId="77777777" w:rsidR="00843AAD" w:rsidRDefault="00843AAD" w:rsidP="00843AAD">
      <w:pPr>
        <w:spacing w:line="360" w:lineRule="auto"/>
        <w:ind w:left="567" w:right="566"/>
        <w:rPr>
          <w:sz w:val="24"/>
          <w:szCs w:val="24"/>
          <w:lang w:val="de-AT"/>
        </w:rPr>
      </w:pPr>
    </w:p>
    <w:p w14:paraId="22C9290C" w14:textId="77777777" w:rsidR="00843AAD" w:rsidRDefault="00843AAD" w:rsidP="00843AAD">
      <w:pPr>
        <w:spacing w:line="360" w:lineRule="auto"/>
        <w:ind w:left="567" w:right="566"/>
        <w:rPr>
          <w:sz w:val="24"/>
          <w:szCs w:val="24"/>
          <w:lang w:val="de-AT"/>
        </w:rPr>
      </w:pPr>
    </w:p>
    <w:p w14:paraId="47C324A9" w14:textId="77777777" w:rsidR="00843AAD" w:rsidRDefault="00843AAD" w:rsidP="00843AAD">
      <w:pPr>
        <w:spacing w:line="360" w:lineRule="auto"/>
        <w:ind w:left="567" w:right="566"/>
        <w:rPr>
          <w:sz w:val="24"/>
          <w:szCs w:val="24"/>
          <w:lang w:val="de-AT"/>
        </w:rPr>
      </w:pPr>
    </w:p>
    <w:p w14:paraId="7B8DD1C6" w14:textId="77777777" w:rsidR="00AC782C" w:rsidRDefault="00AC782C" w:rsidP="00AC782C">
      <w:pPr>
        <w:pStyle w:val="Heading2"/>
      </w:pPr>
      <w:bookmarkStart w:id="4" w:name="_Toc165488520"/>
      <w:r>
        <w:lastRenderedPageBreak/>
        <w:t>Rassistische Vorstellungen</w:t>
      </w:r>
      <w:bookmarkEnd w:id="4"/>
    </w:p>
    <w:p w14:paraId="0AB59038" w14:textId="77777777" w:rsidR="00AC782C" w:rsidRPr="00F142C7" w:rsidRDefault="00AC782C" w:rsidP="00AC782C">
      <w:pPr>
        <w:pStyle w:val="Heading3"/>
        <w:rPr>
          <w:rFonts w:ascii="Baguet Script" w:hAnsi="Baguet Script"/>
        </w:rPr>
      </w:pPr>
      <w:bookmarkStart w:id="5" w:name="_Toc165488521"/>
      <w:r w:rsidRPr="00F142C7">
        <w:rPr>
          <w:rFonts w:ascii="Baguet Script" w:hAnsi="Baguet Script"/>
        </w:rPr>
        <w:t>Rassistische Vorstellungen in Deutsch-S</w:t>
      </w:r>
      <w:r w:rsidRPr="00F142C7">
        <w:rPr>
          <w:rFonts w:ascii="Baguet Script" w:hAnsi="Baguet Script" w:cs="Cambria"/>
        </w:rPr>
        <w:t>ü</w:t>
      </w:r>
      <w:r w:rsidRPr="00F142C7">
        <w:rPr>
          <w:rFonts w:ascii="Baguet Script" w:hAnsi="Baguet Script"/>
        </w:rPr>
        <w:t>dwestafrika</w:t>
      </w:r>
      <w:bookmarkEnd w:id="5"/>
    </w:p>
    <w:p w14:paraId="726A6E69" w14:textId="77777777" w:rsidR="00AC782C" w:rsidRPr="000E32F5" w:rsidRDefault="00AC782C" w:rsidP="00AC782C">
      <w:pPr>
        <w:spacing w:line="360" w:lineRule="auto"/>
        <w:ind w:left="567" w:right="566"/>
        <w:rPr>
          <w:sz w:val="24"/>
          <w:szCs w:val="24"/>
        </w:rPr>
      </w:pPr>
      <w:r w:rsidRPr="000E32F5">
        <w:rPr>
          <w:sz w:val="24"/>
          <w:szCs w:val="24"/>
        </w:rPr>
        <w:t xml:space="preserve">Im </w:t>
      </w:r>
      <w:r>
        <w:rPr>
          <w:sz w:val="24"/>
          <w:szCs w:val="24"/>
        </w:rPr>
        <w:t>Jahr</w:t>
      </w:r>
      <w:r w:rsidRPr="000E32F5">
        <w:rPr>
          <w:sz w:val="24"/>
          <w:szCs w:val="24"/>
        </w:rPr>
        <w:t xml:space="preserve"> 1910, als </w:t>
      </w:r>
      <w:r>
        <w:rPr>
          <w:sz w:val="24"/>
          <w:szCs w:val="24"/>
        </w:rPr>
        <w:t>Namibia</w:t>
      </w:r>
      <w:r w:rsidRPr="000E32F5">
        <w:rPr>
          <w:sz w:val="24"/>
          <w:szCs w:val="24"/>
        </w:rPr>
        <w:t xml:space="preserve"> unter deutscher </w:t>
      </w:r>
      <w:r>
        <w:rPr>
          <w:sz w:val="24"/>
          <w:szCs w:val="24"/>
        </w:rPr>
        <w:t>Kolonialherrschaft</w:t>
      </w:r>
      <w:r w:rsidRPr="000E32F5">
        <w:rPr>
          <w:sz w:val="24"/>
          <w:szCs w:val="24"/>
        </w:rPr>
        <w:t xml:space="preserve"> stand, waren rassistische Vorstellungen weit verbreitet und tief verwurzelt bei den deutschen </w:t>
      </w:r>
      <w:r>
        <w:rPr>
          <w:sz w:val="24"/>
          <w:szCs w:val="24"/>
        </w:rPr>
        <w:t>Kolonialisten</w:t>
      </w:r>
      <w:r w:rsidRPr="000E32F5">
        <w:rPr>
          <w:sz w:val="24"/>
          <w:szCs w:val="24"/>
        </w:rPr>
        <w:t xml:space="preserve">. Sie betrachteten die einheimische </w:t>
      </w:r>
      <w:r>
        <w:rPr>
          <w:sz w:val="24"/>
          <w:szCs w:val="24"/>
        </w:rPr>
        <w:t>Bevölkerung</w:t>
      </w:r>
      <w:r w:rsidRPr="000E32F5">
        <w:rPr>
          <w:sz w:val="24"/>
          <w:szCs w:val="24"/>
        </w:rPr>
        <w:t xml:space="preserve">, insbesondere die </w:t>
      </w:r>
      <w:r>
        <w:rPr>
          <w:sz w:val="24"/>
          <w:szCs w:val="24"/>
        </w:rPr>
        <w:t>Herero</w:t>
      </w:r>
      <w:r w:rsidRPr="000E32F5">
        <w:rPr>
          <w:sz w:val="24"/>
          <w:szCs w:val="24"/>
        </w:rPr>
        <w:t xml:space="preserve"> und </w:t>
      </w:r>
      <w:proofErr w:type="spellStart"/>
      <w:r>
        <w:rPr>
          <w:sz w:val="24"/>
          <w:szCs w:val="24"/>
        </w:rPr>
        <w:t>Nama</w:t>
      </w:r>
      <w:proofErr w:type="spellEnd"/>
      <w:r w:rsidRPr="000E32F5">
        <w:rPr>
          <w:sz w:val="24"/>
          <w:szCs w:val="24"/>
        </w:rPr>
        <w:t xml:space="preserve">, als minderwertig und behandelten sie entsprechend. Diese rassistische Denkweise führten zu </w:t>
      </w:r>
      <w:r>
        <w:rPr>
          <w:sz w:val="24"/>
          <w:szCs w:val="24"/>
        </w:rPr>
        <w:t>einem Völkerm</w:t>
      </w:r>
      <w:r w:rsidRPr="000E32F5">
        <w:rPr>
          <w:sz w:val="24"/>
          <w:szCs w:val="24"/>
        </w:rPr>
        <w:t>ord und einer systematischen Unterdrückung.</w:t>
      </w:r>
    </w:p>
    <w:p w14:paraId="781AA994" w14:textId="77777777" w:rsidR="00AC782C" w:rsidRPr="00E96D35" w:rsidRDefault="00AC782C" w:rsidP="00AC782C">
      <w:pPr>
        <w:pStyle w:val="Heading4"/>
        <w:ind w:right="7653"/>
      </w:pPr>
      <w:r>
        <w:t>Der Aufstand 1904 und dessen Gr</w:t>
      </w:r>
      <w:r>
        <w:rPr>
          <w:rFonts w:ascii="Cambria" w:hAnsi="Cambria" w:cs="Cambria"/>
        </w:rPr>
        <w:t>ü</w:t>
      </w:r>
      <w:r>
        <w:t>nde</w:t>
      </w:r>
    </w:p>
    <w:p w14:paraId="31E88149" w14:textId="29448EAB" w:rsidR="00AC782C" w:rsidRDefault="00AC782C" w:rsidP="007822DC">
      <w:pPr>
        <w:spacing w:line="360" w:lineRule="auto"/>
        <w:ind w:left="567" w:right="567"/>
        <w:rPr>
          <w:sz w:val="24"/>
          <w:szCs w:val="24"/>
        </w:rPr>
      </w:pPr>
      <w:r>
        <w:rPr>
          <w:sz w:val="24"/>
          <w:szCs w:val="24"/>
        </w:rPr>
        <w:t xml:space="preserve">1904 bis 1908 gab es im heutigen Namibia einen Aufstand der Hereros und </w:t>
      </w:r>
      <w:proofErr w:type="spellStart"/>
      <w:r>
        <w:rPr>
          <w:sz w:val="24"/>
          <w:szCs w:val="24"/>
        </w:rPr>
        <w:t>Nama</w:t>
      </w:r>
      <w:proofErr w:type="spellEnd"/>
      <w:r>
        <w:rPr>
          <w:sz w:val="24"/>
          <w:szCs w:val="24"/>
        </w:rPr>
        <w:t xml:space="preserve">. Sie </w:t>
      </w:r>
      <w:r w:rsidRPr="00EA74A2">
        <w:rPr>
          <w:sz w:val="24"/>
          <w:szCs w:val="24"/>
        </w:rPr>
        <w:t>belagerten Militärstationen, blockierten Bahnlinien und überfielen Handelsniederlassungen.</w:t>
      </w:r>
      <w:r>
        <w:rPr>
          <w:sz w:val="24"/>
          <w:szCs w:val="24"/>
        </w:rPr>
        <w:t xml:space="preserve"> Die deutschen schlugen diesen Aufstand auf brutalste Art und Weise nieder und töteten fast alle Einheimischen im Krieg oder in Konzentrationslagern, bis auf schätzungsweise 15.000 bis 80.000 Einheimische. </w:t>
      </w:r>
      <w:sdt>
        <w:sdtPr>
          <w:rPr>
            <w:sz w:val="24"/>
            <w:szCs w:val="24"/>
          </w:rPr>
          <w:id w:val="-1266989933"/>
          <w:citation/>
        </w:sdtPr>
        <w:sdtContent>
          <w:r>
            <w:rPr>
              <w:sz w:val="24"/>
              <w:szCs w:val="24"/>
            </w:rPr>
            <w:fldChar w:fldCharType="begin"/>
          </w:r>
          <w:r>
            <w:rPr>
              <w:sz w:val="24"/>
              <w:szCs w:val="24"/>
              <w:lang w:val="de-AT"/>
            </w:rPr>
            <w:instrText xml:space="preserve"> CITATION Bun23 \l 3079 </w:instrText>
          </w:r>
          <w:r>
            <w:rPr>
              <w:sz w:val="24"/>
              <w:szCs w:val="24"/>
            </w:rPr>
            <w:fldChar w:fldCharType="separate"/>
          </w:r>
          <w:r w:rsidRPr="001E71B4">
            <w:rPr>
              <w:noProof/>
              <w:sz w:val="24"/>
              <w:szCs w:val="24"/>
              <w:lang w:val="de-AT"/>
            </w:rPr>
            <w:t>[8]</w:t>
          </w:r>
          <w:r>
            <w:rPr>
              <w:sz w:val="24"/>
              <w:szCs w:val="24"/>
            </w:rPr>
            <w:fldChar w:fldCharType="end"/>
          </w:r>
        </w:sdtContent>
      </w:sdt>
      <w:r>
        <w:rPr>
          <w:sz w:val="24"/>
          <w:szCs w:val="24"/>
        </w:rPr>
        <w:br/>
        <w:t xml:space="preserve">Der Aufstand wurde vor allem gestartet, weil die Herero und </w:t>
      </w:r>
      <w:proofErr w:type="spellStart"/>
      <w:r>
        <w:rPr>
          <w:sz w:val="24"/>
          <w:szCs w:val="24"/>
        </w:rPr>
        <w:t>Nama</w:t>
      </w:r>
      <w:proofErr w:type="spellEnd"/>
      <w:r>
        <w:rPr>
          <w:sz w:val="24"/>
          <w:szCs w:val="24"/>
        </w:rPr>
        <w:t xml:space="preserve"> immer mehr Land an die Deutschen abgeben mussten. Immer mehr ihrer Nutztiere mussten ebenso an die Deutschen abgegeben werden, weswegen sie weniger zum Essen hatten. Außerdem waren die Einheimischen starkem Rassismus ausgesetzt. Wegen ihrer Hautfarbe, dachten die deutschen Kolonialisten, dass die </w:t>
      </w:r>
      <w:proofErr w:type="spellStart"/>
      <w:r>
        <w:rPr>
          <w:sz w:val="24"/>
          <w:szCs w:val="24"/>
        </w:rPr>
        <w:t>Nama</w:t>
      </w:r>
      <w:proofErr w:type="spellEnd"/>
      <w:r>
        <w:rPr>
          <w:sz w:val="24"/>
          <w:szCs w:val="24"/>
        </w:rPr>
        <w:t xml:space="preserve"> und Herero „Menschen zweiter Klasse“ wären, und die Deutschen überlegen sind. Die Gesellschaft in </w:t>
      </w:r>
      <w:r w:rsidRPr="00F2135F">
        <w:rPr>
          <w:sz w:val="24"/>
          <w:szCs w:val="24"/>
        </w:rPr>
        <w:t>Deutsch-Südwestafrika</w:t>
      </w:r>
      <w:r>
        <w:rPr>
          <w:sz w:val="24"/>
          <w:szCs w:val="24"/>
        </w:rPr>
        <w:t>, sollte aus einer „weißen Oberschicht“ und einer „schwarzen Unterschicht“ bestehen, die nicht „gemischt“ werden sollte.</w:t>
      </w:r>
      <w:r>
        <w:rPr>
          <w:sz w:val="24"/>
          <w:szCs w:val="24"/>
        </w:rPr>
        <w:br/>
        <w:t xml:space="preserve">Alle existierenden Ehen zwischen Deutschen und Einheimischen wurden 1907 annulliert.  Sollte es Kinder geben, die von Kolonialisten und AfrikanerInnen entstanden sind, </w:t>
      </w:r>
      <w:r w:rsidR="006C4A28">
        <w:rPr>
          <w:sz w:val="24"/>
          <w:szCs w:val="24"/>
        </w:rPr>
        <w:t>galten diese als</w:t>
      </w:r>
      <w:r>
        <w:rPr>
          <w:sz w:val="24"/>
          <w:szCs w:val="24"/>
        </w:rPr>
        <w:t xml:space="preserve"> „eingeboren“. </w:t>
      </w:r>
      <w:sdt>
        <w:sdtPr>
          <w:rPr>
            <w:sz w:val="24"/>
            <w:szCs w:val="24"/>
          </w:rPr>
          <w:id w:val="168601425"/>
          <w:citation/>
        </w:sdtPr>
        <w:sdtContent>
          <w:r>
            <w:rPr>
              <w:sz w:val="24"/>
              <w:szCs w:val="24"/>
            </w:rPr>
            <w:fldChar w:fldCharType="begin"/>
          </w:r>
          <w:r>
            <w:rPr>
              <w:sz w:val="24"/>
              <w:szCs w:val="24"/>
              <w:lang w:val="de-AT"/>
            </w:rPr>
            <w:instrText xml:space="preserve">CITATION Exp12 \l 3079 </w:instrText>
          </w:r>
          <w:r>
            <w:rPr>
              <w:sz w:val="24"/>
              <w:szCs w:val="24"/>
            </w:rPr>
            <w:fldChar w:fldCharType="separate"/>
          </w:r>
          <w:r w:rsidRPr="001E71B4">
            <w:rPr>
              <w:noProof/>
              <w:sz w:val="24"/>
              <w:szCs w:val="24"/>
              <w:lang w:val="de-AT"/>
            </w:rPr>
            <w:t>[9]</w:t>
          </w:r>
          <w:r>
            <w:rPr>
              <w:sz w:val="24"/>
              <w:szCs w:val="24"/>
            </w:rPr>
            <w:fldChar w:fldCharType="end"/>
          </w:r>
        </w:sdtContent>
      </w:sdt>
      <w:r>
        <w:rPr>
          <w:sz w:val="24"/>
          <w:szCs w:val="24"/>
        </w:rPr>
        <w:t xml:space="preserve"> </w:t>
      </w:r>
      <w:sdt>
        <w:sdtPr>
          <w:rPr>
            <w:sz w:val="24"/>
            <w:szCs w:val="24"/>
          </w:rPr>
          <w:id w:val="1078555269"/>
          <w:citation/>
        </w:sdtPr>
        <w:sdtContent>
          <w:r>
            <w:rPr>
              <w:sz w:val="24"/>
              <w:szCs w:val="24"/>
            </w:rPr>
            <w:fldChar w:fldCharType="begin"/>
          </w:r>
          <w:r>
            <w:rPr>
              <w:sz w:val="24"/>
              <w:szCs w:val="24"/>
              <w:lang w:val="de-AT"/>
            </w:rPr>
            <w:instrText xml:space="preserve"> CITATION Jür12 \l 3079 </w:instrText>
          </w:r>
          <w:r>
            <w:rPr>
              <w:sz w:val="24"/>
              <w:szCs w:val="24"/>
            </w:rPr>
            <w:fldChar w:fldCharType="separate"/>
          </w:r>
          <w:r w:rsidRPr="001E71B4">
            <w:rPr>
              <w:noProof/>
              <w:sz w:val="24"/>
              <w:szCs w:val="24"/>
              <w:lang w:val="de-AT"/>
            </w:rPr>
            <w:t>[10]</w:t>
          </w:r>
          <w:r>
            <w:rPr>
              <w:sz w:val="24"/>
              <w:szCs w:val="24"/>
            </w:rPr>
            <w:fldChar w:fldCharType="end"/>
          </w:r>
        </w:sdtContent>
      </w:sdt>
    </w:p>
    <w:p w14:paraId="3FB4A45D" w14:textId="77777777" w:rsidR="00AC782C" w:rsidRDefault="00AC782C" w:rsidP="00AC782C">
      <w:pPr>
        <w:pStyle w:val="Heading4"/>
      </w:pPr>
      <w:r>
        <w:t xml:space="preserve">Apartheid </w:t>
      </w:r>
    </w:p>
    <w:p w14:paraId="4287AA92" w14:textId="778F8C61" w:rsidR="00186E96" w:rsidRPr="00E96D35" w:rsidRDefault="00AC782C" w:rsidP="00AC782C">
      <w:pPr>
        <w:spacing w:line="360" w:lineRule="auto"/>
        <w:ind w:left="567" w:right="566"/>
        <w:rPr>
          <w:sz w:val="24"/>
          <w:szCs w:val="24"/>
        </w:rPr>
      </w:pPr>
      <w:r w:rsidRPr="000E32F5">
        <w:rPr>
          <w:sz w:val="24"/>
          <w:szCs w:val="24"/>
        </w:rPr>
        <w:t>Der rassistische</w:t>
      </w:r>
      <w:r w:rsidR="00B50BAD">
        <w:rPr>
          <w:sz w:val="24"/>
          <w:szCs w:val="24"/>
        </w:rPr>
        <w:t xml:space="preserve">n Auffassungen Europas </w:t>
      </w:r>
      <w:r w:rsidRPr="000E32F5">
        <w:rPr>
          <w:sz w:val="24"/>
          <w:szCs w:val="24"/>
        </w:rPr>
        <w:t>hatte</w:t>
      </w:r>
      <w:r w:rsidR="00B50BAD">
        <w:rPr>
          <w:sz w:val="24"/>
          <w:szCs w:val="24"/>
        </w:rPr>
        <w:t>n</w:t>
      </w:r>
      <w:r w:rsidRPr="000E32F5">
        <w:rPr>
          <w:sz w:val="24"/>
          <w:szCs w:val="24"/>
        </w:rPr>
        <w:t xml:space="preserve"> auch noch später Auswirkungen. Nach dem zweiten Weltkrieg hat man durch die </w:t>
      </w:r>
      <w:r w:rsidRPr="00E96D35">
        <w:rPr>
          <w:sz w:val="24"/>
          <w:szCs w:val="24"/>
        </w:rPr>
        <w:t>südafrikanische Besatzungsmacht</w:t>
      </w:r>
      <w:r>
        <w:rPr>
          <w:sz w:val="24"/>
          <w:szCs w:val="24"/>
        </w:rPr>
        <w:t xml:space="preserve"> das Apartheid-System eingeführt. </w:t>
      </w:r>
      <w:r w:rsidRPr="00E96D35">
        <w:rPr>
          <w:sz w:val="24"/>
          <w:szCs w:val="24"/>
        </w:rPr>
        <w:t xml:space="preserve">Unter der </w:t>
      </w:r>
      <w:r>
        <w:rPr>
          <w:sz w:val="24"/>
          <w:szCs w:val="24"/>
        </w:rPr>
        <w:t>Apartheid</w:t>
      </w:r>
      <w:r w:rsidRPr="00E96D35">
        <w:rPr>
          <w:sz w:val="24"/>
          <w:szCs w:val="24"/>
        </w:rPr>
        <w:t xml:space="preserve"> wurden rassistische </w:t>
      </w:r>
      <w:r>
        <w:rPr>
          <w:sz w:val="24"/>
          <w:szCs w:val="24"/>
        </w:rPr>
        <w:t>Gesetze</w:t>
      </w:r>
      <w:r w:rsidRPr="00E96D35">
        <w:rPr>
          <w:sz w:val="24"/>
          <w:szCs w:val="24"/>
        </w:rPr>
        <w:t xml:space="preserve"> erlassen, die eine strikte </w:t>
      </w:r>
      <w:r>
        <w:rPr>
          <w:sz w:val="24"/>
          <w:szCs w:val="24"/>
        </w:rPr>
        <w:t>Trennung</w:t>
      </w:r>
      <w:r w:rsidRPr="00E96D35">
        <w:rPr>
          <w:sz w:val="24"/>
          <w:szCs w:val="24"/>
        </w:rPr>
        <w:t xml:space="preserve"> zwischen den verschiedenen </w:t>
      </w:r>
      <w:r>
        <w:rPr>
          <w:sz w:val="24"/>
          <w:szCs w:val="24"/>
        </w:rPr>
        <w:t>Rassen</w:t>
      </w:r>
      <w:r w:rsidRPr="00E96D35">
        <w:rPr>
          <w:sz w:val="24"/>
          <w:szCs w:val="24"/>
        </w:rPr>
        <w:t xml:space="preserve"> vorschrieben und </w:t>
      </w:r>
      <w:r w:rsidR="00B50BAD">
        <w:rPr>
          <w:sz w:val="24"/>
          <w:szCs w:val="24"/>
        </w:rPr>
        <w:t>W</w:t>
      </w:r>
      <w:r>
        <w:rPr>
          <w:sz w:val="24"/>
          <w:szCs w:val="24"/>
        </w:rPr>
        <w:t>eißen einen Vorteil gaben</w:t>
      </w:r>
      <w:r w:rsidRPr="00E96D35">
        <w:rPr>
          <w:sz w:val="24"/>
          <w:szCs w:val="24"/>
        </w:rPr>
        <w:t xml:space="preserve">. </w:t>
      </w:r>
      <w:r>
        <w:rPr>
          <w:sz w:val="24"/>
          <w:szCs w:val="24"/>
        </w:rPr>
        <w:t>Die</w:t>
      </w:r>
      <w:r w:rsidRPr="00E96D35">
        <w:rPr>
          <w:sz w:val="24"/>
          <w:szCs w:val="24"/>
        </w:rPr>
        <w:t xml:space="preserve"> Rassentrennung führte </w:t>
      </w:r>
      <w:r>
        <w:rPr>
          <w:sz w:val="24"/>
          <w:szCs w:val="24"/>
        </w:rPr>
        <w:t xml:space="preserve">zu mehr </w:t>
      </w:r>
      <w:r w:rsidRPr="00E96D35">
        <w:rPr>
          <w:sz w:val="24"/>
          <w:szCs w:val="24"/>
        </w:rPr>
        <w:t xml:space="preserve">sozialen Ungleichheiten und Diskriminierung der schwarzen </w:t>
      </w:r>
      <w:r>
        <w:rPr>
          <w:sz w:val="24"/>
          <w:szCs w:val="24"/>
        </w:rPr>
        <w:t>Namibianer</w:t>
      </w:r>
      <w:r w:rsidRPr="00E96D35">
        <w:rPr>
          <w:sz w:val="24"/>
          <w:szCs w:val="24"/>
        </w:rPr>
        <w:t>.</w:t>
      </w:r>
      <w:sdt>
        <w:sdtPr>
          <w:rPr>
            <w:sz w:val="24"/>
            <w:szCs w:val="24"/>
          </w:rPr>
          <w:id w:val="-1301689371"/>
          <w:citation/>
        </w:sdtPr>
        <w:sdtContent>
          <w:r>
            <w:rPr>
              <w:sz w:val="24"/>
              <w:szCs w:val="24"/>
            </w:rPr>
            <w:fldChar w:fldCharType="begin"/>
          </w:r>
          <w:r>
            <w:rPr>
              <w:sz w:val="24"/>
              <w:szCs w:val="24"/>
              <w:lang w:val="de-AT"/>
            </w:rPr>
            <w:instrText xml:space="preserve"> CITATION Süddi \l 3079 </w:instrText>
          </w:r>
          <w:r>
            <w:rPr>
              <w:sz w:val="24"/>
              <w:szCs w:val="24"/>
            </w:rPr>
            <w:fldChar w:fldCharType="separate"/>
          </w:r>
          <w:r>
            <w:rPr>
              <w:noProof/>
              <w:sz w:val="24"/>
              <w:szCs w:val="24"/>
              <w:lang w:val="de-AT"/>
            </w:rPr>
            <w:t xml:space="preserve"> </w:t>
          </w:r>
          <w:r w:rsidRPr="001E71B4">
            <w:rPr>
              <w:noProof/>
              <w:sz w:val="24"/>
              <w:szCs w:val="24"/>
              <w:lang w:val="de-AT"/>
            </w:rPr>
            <w:t>[11]</w:t>
          </w:r>
          <w:r>
            <w:rPr>
              <w:sz w:val="24"/>
              <w:szCs w:val="24"/>
            </w:rPr>
            <w:fldChar w:fldCharType="end"/>
          </w:r>
        </w:sdtContent>
      </w:sdt>
    </w:p>
    <w:p w14:paraId="28DE547C" w14:textId="77777777" w:rsidR="00AC782C" w:rsidRPr="00F142C7" w:rsidRDefault="00AC782C" w:rsidP="00AC782C">
      <w:pPr>
        <w:pStyle w:val="Heading3"/>
        <w:rPr>
          <w:rFonts w:ascii="Baguet Script" w:hAnsi="Baguet Script"/>
        </w:rPr>
      </w:pPr>
      <w:bookmarkStart w:id="6" w:name="_Toc165488522"/>
      <w:r w:rsidRPr="00F142C7">
        <w:rPr>
          <w:rFonts w:ascii="Baguet Script" w:hAnsi="Baguet Script"/>
        </w:rPr>
        <w:t>Rassismus im heutigen Namibia</w:t>
      </w:r>
      <w:bookmarkEnd w:id="6"/>
    </w:p>
    <w:p w14:paraId="2248F7AF" w14:textId="77777777" w:rsidR="00AC782C" w:rsidRDefault="00AC782C" w:rsidP="00AC782C">
      <w:pPr>
        <w:spacing w:line="360" w:lineRule="auto"/>
        <w:ind w:left="567" w:right="566"/>
        <w:rPr>
          <w:sz w:val="24"/>
          <w:szCs w:val="24"/>
        </w:rPr>
      </w:pPr>
      <w:r w:rsidRPr="00E96D35">
        <w:rPr>
          <w:sz w:val="24"/>
          <w:szCs w:val="24"/>
        </w:rPr>
        <w:t xml:space="preserve">Obwohl die Politik der Apartheid in Namibia mit der Unabhängigkeit des Landes im Jahr 1990 endete, sind rassistische </w:t>
      </w:r>
      <w:r>
        <w:rPr>
          <w:sz w:val="24"/>
          <w:szCs w:val="24"/>
        </w:rPr>
        <w:t>V</w:t>
      </w:r>
      <w:r w:rsidRPr="00E96D35">
        <w:rPr>
          <w:sz w:val="24"/>
          <w:szCs w:val="24"/>
        </w:rPr>
        <w:t xml:space="preserve">orstellungen und </w:t>
      </w:r>
      <w:r>
        <w:rPr>
          <w:sz w:val="24"/>
          <w:szCs w:val="24"/>
        </w:rPr>
        <w:t>S</w:t>
      </w:r>
      <w:r w:rsidRPr="00E96D35">
        <w:rPr>
          <w:sz w:val="24"/>
          <w:szCs w:val="24"/>
        </w:rPr>
        <w:t xml:space="preserve">trukturen immer noch </w:t>
      </w:r>
      <w:r>
        <w:rPr>
          <w:sz w:val="24"/>
          <w:szCs w:val="24"/>
        </w:rPr>
        <w:t>da</w:t>
      </w:r>
      <w:r w:rsidRPr="00E96D35">
        <w:rPr>
          <w:sz w:val="24"/>
          <w:szCs w:val="24"/>
        </w:rPr>
        <w:t xml:space="preserve">. Schwarze </w:t>
      </w:r>
      <w:r>
        <w:rPr>
          <w:sz w:val="24"/>
          <w:szCs w:val="24"/>
        </w:rPr>
        <w:t>Namibianer</w:t>
      </w:r>
      <w:r w:rsidRPr="00E96D35">
        <w:rPr>
          <w:sz w:val="24"/>
          <w:szCs w:val="24"/>
        </w:rPr>
        <w:t xml:space="preserve"> werden immer noch diskriminiert. Die Ungleichheit zwischen den verschiedenen Rassen ist nach wie vor ein ernsthaftes Problem, </w:t>
      </w:r>
      <w:r>
        <w:rPr>
          <w:sz w:val="24"/>
          <w:szCs w:val="24"/>
        </w:rPr>
        <w:t>welches</w:t>
      </w:r>
      <w:r w:rsidRPr="00E96D35">
        <w:rPr>
          <w:sz w:val="24"/>
          <w:szCs w:val="24"/>
        </w:rPr>
        <w:t xml:space="preserve"> die Gesellschaft spaltet.</w:t>
      </w:r>
      <w:r>
        <w:rPr>
          <w:sz w:val="24"/>
          <w:szCs w:val="24"/>
        </w:rPr>
        <w:t xml:space="preserve"> Nicht nur in Namibia. </w:t>
      </w:r>
      <w:sdt>
        <w:sdtPr>
          <w:rPr>
            <w:sz w:val="24"/>
            <w:szCs w:val="24"/>
          </w:rPr>
          <w:id w:val="-1207640425"/>
          <w:citation/>
        </w:sdtPr>
        <w:sdtContent>
          <w:r>
            <w:rPr>
              <w:sz w:val="24"/>
              <w:szCs w:val="24"/>
            </w:rPr>
            <w:fldChar w:fldCharType="begin"/>
          </w:r>
          <w:r>
            <w:rPr>
              <w:sz w:val="24"/>
              <w:szCs w:val="24"/>
              <w:lang w:val="de-AT"/>
            </w:rPr>
            <w:instrText xml:space="preserve"> CITATION 18wh \l 3079 </w:instrText>
          </w:r>
          <w:r>
            <w:rPr>
              <w:sz w:val="24"/>
              <w:szCs w:val="24"/>
            </w:rPr>
            <w:fldChar w:fldCharType="separate"/>
          </w:r>
          <w:r w:rsidRPr="001E71B4">
            <w:rPr>
              <w:noProof/>
              <w:sz w:val="24"/>
              <w:szCs w:val="24"/>
              <w:lang w:val="de-AT"/>
            </w:rPr>
            <w:t>[12]</w:t>
          </w:r>
          <w:r>
            <w:rPr>
              <w:sz w:val="24"/>
              <w:szCs w:val="24"/>
            </w:rPr>
            <w:fldChar w:fldCharType="end"/>
          </w:r>
        </w:sdtContent>
      </w:sdt>
    </w:p>
    <w:p w14:paraId="737C7A16" w14:textId="77777777" w:rsidR="00B32EB2" w:rsidRPr="00D201D3" w:rsidRDefault="00B32EB2" w:rsidP="00B32EB2">
      <w:pPr>
        <w:pStyle w:val="Heading2"/>
      </w:pPr>
      <w:bookmarkStart w:id="7" w:name="_Toc165488523"/>
      <w:r w:rsidRPr="00D201D3">
        <w:lastRenderedPageBreak/>
        <w:t>Folgen der Kolonialisierung</w:t>
      </w:r>
      <w:bookmarkEnd w:id="7"/>
    </w:p>
    <w:p w14:paraId="45505169" w14:textId="77777777" w:rsidR="00843AAD" w:rsidRDefault="00B32EB2" w:rsidP="00843AAD">
      <w:pPr>
        <w:spacing w:line="360" w:lineRule="auto"/>
        <w:ind w:left="567" w:right="567"/>
        <w:rPr>
          <w:sz w:val="24"/>
          <w:szCs w:val="24"/>
        </w:rPr>
      </w:pPr>
      <w:r w:rsidRPr="00A710A5">
        <w:rPr>
          <w:sz w:val="24"/>
          <w:szCs w:val="24"/>
        </w:rPr>
        <w:t>Durch das Ende des Ersten Weltkriegs war auch das Ende des deutschen Kolonialreichs gekommen. Laut dem Versailler Vertrag sollten alle Kolonien als Mandatsgebiete an den neu gegründeten Völkerbund gehen. 1921 ging das Mandat über Namibia an Südafrika.</w:t>
      </w:r>
      <w:sdt>
        <w:sdtPr>
          <w:rPr>
            <w:sz w:val="24"/>
            <w:szCs w:val="24"/>
          </w:rPr>
          <w:id w:val="-545683242"/>
          <w:citation/>
        </w:sdtPr>
        <w:sdtContent>
          <w:r w:rsidRPr="00A710A5">
            <w:rPr>
              <w:sz w:val="24"/>
              <w:szCs w:val="24"/>
            </w:rPr>
            <w:fldChar w:fldCharType="begin"/>
          </w:r>
          <w:r w:rsidRPr="00A710A5">
            <w:rPr>
              <w:sz w:val="24"/>
              <w:szCs w:val="24"/>
            </w:rPr>
            <w:instrText xml:space="preserve">CITATION kna20 \l 2057 </w:instrText>
          </w:r>
          <w:r w:rsidRPr="00A710A5">
            <w:rPr>
              <w:sz w:val="24"/>
              <w:szCs w:val="24"/>
            </w:rPr>
            <w:fldChar w:fldCharType="separate"/>
          </w:r>
          <w:r>
            <w:rPr>
              <w:noProof/>
              <w:sz w:val="24"/>
              <w:szCs w:val="24"/>
            </w:rPr>
            <w:t xml:space="preserve"> </w:t>
          </w:r>
          <w:r w:rsidRPr="001E71B4">
            <w:rPr>
              <w:noProof/>
              <w:sz w:val="24"/>
              <w:szCs w:val="24"/>
            </w:rPr>
            <w:t>[1]</w:t>
          </w:r>
          <w:r w:rsidRPr="00A710A5">
            <w:rPr>
              <w:sz w:val="24"/>
              <w:szCs w:val="24"/>
            </w:rPr>
            <w:fldChar w:fldCharType="end"/>
          </w:r>
        </w:sdtContent>
      </w:sdt>
      <w:r w:rsidR="00843AAD">
        <w:rPr>
          <w:sz w:val="24"/>
          <w:szCs w:val="24"/>
        </w:rPr>
        <w:t xml:space="preserve"> </w:t>
      </w:r>
    </w:p>
    <w:p w14:paraId="7218ECE0" w14:textId="30604C38" w:rsidR="00B32EB2" w:rsidRPr="00A710A5" w:rsidRDefault="00B32EB2" w:rsidP="00843AAD">
      <w:pPr>
        <w:spacing w:line="360" w:lineRule="auto"/>
        <w:ind w:left="567" w:right="567"/>
        <w:rPr>
          <w:sz w:val="24"/>
          <w:szCs w:val="24"/>
        </w:rPr>
      </w:pPr>
      <w:r w:rsidRPr="00A710A5">
        <w:rPr>
          <w:sz w:val="24"/>
          <w:szCs w:val="24"/>
        </w:rPr>
        <w:t xml:space="preserve">Das Mandat war an einige Bedingungen geknüpft: Südafrika durfte keine Militärstützpunkte im Lande </w:t>
      </w:r>
      <w:r w:rsidR="00843AAD">
        <w:rPr>
          <w:sz w:val="24"/>
          <w:szCs w:val="24"/>
        </w:rPr>
        <w:br/>
      </w:r>
      <w:r w:rsidRPr="00A710A5">
        <w:rPr>
          <w:sz w:val="24"/>
          <w:szCs w:val="24"/>
        </w:rPr>
        <w:t xml:space="preserve">errichten oder Einheimische zum Militärdienst rekrutieren. Außerdem waren sie verpflichtet, die wirtschaftliche und soziale Entwicklung des Landes zu unterstützen. Südafrika hingegen betrachtete Namibia weiterhin als Kolonie. Die schwarze Bevölkerung wurde weiter in Reservate abgedrängt, wo sie keine Entwicklungshilfe bekam. Das Recht der schwarzen Bevölkerung, Vieh zu besitzen, wurde eingeschränkt und der Zugang zu Land wurde ihnen erschwert. </w:t>
      </w:r>
      <w:r w:rsidRPr="00A710A5">
        <w:rPr>
          <w:sz w:val="24"/>
          <w:szCs w:val="24"/>
        </w:rPr>
        <w:br/>
        <w:t xml:space="preserve">Der Widerstand formierte sich zuerst im Süden Namibias. Im Jahr 1922 schlugen die Südafrikaner einen Ausschlag der </w:t>
      </w:r>
      <w:proofErr w:type="spellStart"/>
      <w:r w:rsidRPr="00A710A5">
        <w:rPr>
          <w:sz w:val="24"/>
          <w:szCs w:val="24"/>
        </w:rPr>
        <w:t>Bondelswart</w:t>
      </w:r>
      <w:proofErr w:type="spellEnd"/>
      <w:r w:rsidRPr="00A710A5">
        <w:rPr>
          <w:sz w:val="24"/>
          <w:szCs w:val="24"/>
        </w:rPr>
        <w:t xml:space="preserve"> (Volksgruppe der </w:t>
      </w:r>
      <w:proofErr w:type="spellStart"/>
      <w:r w:rsidRPr="00A710A5">
        <w:rPr>
          <w:sz w:val="24"/>
          <w:szCs w:val="24"/>
        </w:rPr>
        <w:t>Orlam-Nama</w:t>
      </w:r>
      <w:proofErr w:type="spellEnd"/>
      <w:r w:rsidRPr="00A710A5">
        <w:rPr>
          <w:sz w:val="24"/>
          <w:szCs w:val="24"/>
        </w:rPr>
        <w:t xml:space="preserve">) nieder, die in ein wasserloses Reservat umgesiedelt worden waren und zu verhungern drohten. Bei dem Aufstand starben mehr als 100 Menschen. </w:t>
      </w:r>
      <w:sdt>
        <w:sdtPr>
          <w:rPr>
            <w:sz w:val="24"/>
            <w:szCs w:val="24"/>
          </w:rPr>
          <w:id w:val="-2129460886"/>
          <w:citation/>
        </w:sdtPr>
        <w:sdtContent>
          <w:r w:rsidRPr="00A710A5">
            <w:rPr>
              <w:sz w:val="24"/>
              <w:szCs w:val="24"/>
            </w:rPr>
            <w:fldChar w:fldCharType="begin"/>
          </w:r>
          <w:r w:rsidRPr="00270129">
            <w:rPr>
              <w:sz w:val="24"/>
              <w:szCs w:val="24"/>
              <w:lang w:val="de-AT"/>
            </w:rPr>
            <w:instrText xml:space="preserve">CITATION Nic22 \l 2057 </w:instrText>
          </w:r>
          <w:r w:rsidRPr="00A710A5">
            <w:rPr>
              <w:sz w:val="24"/>
              <w:szCs w:val="24"/>
            </w:rPr>
            <w:fldChar w:fldCharType="separate"/>
          </w:r>
          <w:r w:rsidRPr="001E71B4">
            <w:rPr>
              <w:noProof/>
              <w:sz w:val="24"/>
              <w:szCs w:val="24"/>
              <w:lang w:val="de-AT"/>
            </w:rPr>
            <w:t>[2]</w:t>
          </w:r>
          <w:r w:rsidRPr="00A710A5">
            <w:rPr>
              <w:sz w:val="24"/>
              <w:szCs w:val="24"/>
            </w:rPr>
            <w:fldChar w:fldCharType="end"/>
          </w:r>
        </w:sdtContent>
      </w:sdt>
      <w:r w:rsidRPr="00A710A5">
        <w:rPr>
          <w:sz w:val="24"/>
          <w:szCs w:val="24"/>
        </w:rPr>
        <w:br/>
        <w:t>Bis 1926 hatte sich die weiße Bevölkerung fast verdoppelt. Zu Beginn des Zweiten Weltkriegs waren 12 % der deutschen Bevölkerung Südafrikas in Gewahrsam genommen worden. Südafrika war ein Verbündeter Großbritanniens. 1946 wurde Namibia (trotz eines Urteils dagegen vom Internationalen Gerichtshof) von Südafrika als fünfte Provinz eingegliedert. 1951 dehnte Südafrika die südafrikanischen Apartheidgesetze auf Namibia aus.</w:t>
      </w:r>
      <w:sdt>
        <w:sdtPr>
          <w:rPr>
            <w:sz w:val="24"/>
            <w:szCs w:val="24"/>
          </w:rPr>
          <w:id w:val="-1258672417"/>
          <w:citation/>
        </w:sdtPr>
        <w:sdtContent>
          <w:r w:rsidRPr="00A710A5">
            <w:rPr>
              <w:sz w:val="24"/>
              <w:szCs w:val="24"/>
            </w:rPr>
            <w:fldChar w:fldCharType="begin"/>
          </w:r>
          <w:r w:rsidRPr="00A710A5">
            <w:rPr>
              <w:sz w:val="24"/>
              <w:szCs w:val="24"/>
            </w:rPr>
            <w:instrText xml:space="preserve">CITATION Die02 \l 2057 </w:instrText>
          </w:r>
          <w:r w:rsidRPr="00A710A5">
            <w:rPr>
              <w:sz w:val="24"/>
              <w:szCs w:val="24"/>
            </w:rPr>
            <w:fldChar w:fldCharType="separate"/>
          </w:r>
          <w:r>
            <w:rPr>
              <w:noProof/>
              <w:sz w:val="24"/>
              <w:szCs w:val="24"/>
            </w:rPr>
            <w:t xml:space="preserve"> </w:t>
          </w:r>
          <w:r w:rsidRPr="001E71B4">
            <w:rPr>
              <w:noProof/>
              <w:sz w:val="24"/>
              <w:szCs w:val="24"/>
            </w:rPr>
            <w:t>[3]</w:t>
          </w:r>
          <w:r w:rsidRPr="00A710A5">
            <w:rPr>
              <w:sz w:val="24"/>
              <w:szCs w:val="24"/>
            </w:rPr>
            <w:fldChar w:fldCharType="end"/>
          </w:r>
        </w:sdtContent>
      </w:sdt>
    </w:p>
    <w:p w14:paraId="4144353A" w14:textId="180FE846" w:rsidR="00B32EB2" w:rsidRPr="00A710A5" w:rsidRDefault="00B32EB2" w:rsidP="00B32EB2">
      <w:pPr>
        <w:spacing w:line="360" w:lineRule="auto"/>
        <w:ind w:left="567" w:right="567"/>
        <w:rPr>
          <w:sz w:val="24"/>
          <w:szCs w:val="24"/>
        </w:rPr>
      </w:pPr>
      <w:r w:rsidRPr="00A710A5">
        <w:rPr>
          <w:sz w:val="24"/>
          <w:szCs w:val="24"/>
        </w:rPr>
        <w:t xml:space="preserve">Apartheid ist dabei </w:t>
      </w:r>
      <w:r w:rsidR="00DA1E4A">
        <w:rPr>
          <w:sz w:val="24"/>
          <w:szCs w:val="24"/>
        </w:rPr>
        <w:t xml:space="preserve">(wie zuvor bereits erwähnt) </w:t>
      </w:r>
      <w:r w:rsidRPr="00A710A5">
        <w:rPr>
          <w:sz w:val="24"/>
          <w:szCs w:val="24"/>
        </w:rPr>
        <w:t>das politische System der Rassentrennung in Südafrika in der zweiten Hälfte des 20. Jahrhunderts. Die Menschen des Landes wurden in acht verschiedene Gruppen oder „Rassen“, je nach ihrer Hautfarbe, eingeteilt.</w:t>
      </w:r>
      <w:sdt>
        <w:sdtPr>
          <w:rPr>
            <w:sz w:val="24"/>
            <w:szCs w:val="24"/>
          </w:rPr>
          <w:id w:val="-1813472958"/>
          <w:citation/>
        </w:sdtPr>
        <w:sdtContent>
          <w:r w:rsidRPr="00A710A5">
            <w:rPr>
              <w:sz w:val="24"/>
              <w:szCs w:val="24"/>
            </w:rPr>
            <w:fldChar w:fldCharType="begin"/>
          </w:r>
          <w:r w:rsidRPr="00A710A5">
            <w:rPr>
              <w:sz w:val="24"/>
              <w:szCs w:val="24"/>
            </w:rPr>
            <w:instrText xml:space="preserve">CITATION Ger22 \l 2057 </w:instrText>
          </w:r>
          <w:r w:rsidRPr="00A710A5">
            <w:rPr>
              <w:sz w:val="24"/>
              <w:szCs w:val="24"/>
            </w:rPr>
            <w:fldChar w:fldCharType="separate"/>
          </w:r>
          <w:r>
            <w:rPr>
              <w:noProof/>
              <w:sz w:val="24"/>
              <w:szCs w:val="24"/>
            </w:rPr>
            <w:t xml:space="preserve"> </w:t>
          </w:r>
          <w:r w:rsidRPr="001E71B4">
            <w:rPr>
              <w:noProof/>
              <w:sz w:val="24"/>
              <w:szCs w:val="24"/>
            </w:rPr>
            <w:t>[4]</w:t>
          </w:r>
          <w:r w:rsidRPr="00A710A5">
            <w:rPr>
              <w:sz w:val="24"/>
              <w:szCs w:val="24"/>
            </w:rPr>
            <w:fldChar w:fldCharType="end"/>
          </w:r>
        </w:sdtContent>
      </w:sdt>
    </w:p>
    <w:p w14:paraId="70BAC29E" w14:textId="77777777" w:rsidR="00B32EB2" w:rsidRPr="00A710A5" w:rsidRDefault="00B32EB2" w:rsidP="00B32EB2">
      <w:pPr>
        <w:spacing w:line="360" w:lineRule="auto"/>
        <w:ind w:left="567" w:right="567"/>
        <w:rPr>
          <w:sz w:val="24"/>
          <w:szCs w:val="24"/>
        </w:rPr>
      </w:pPr>
      <w:r w:rsidRPr="00A710A5">
        <w:rPr>
          <w:sz w:val="24"/>
          <w:szCs w:val="24"/>
        </w:rPr>
        <w:t xml:space="preserve">Schließlich formte sich anti-kolonialer Widerstand gegen Südafrika, der 1960 in die Gründung der SWAPO mündete. SWAPO steht hierbei für „South West African </w:t>
      </w:r>
      <w:proofErr w:type="spellStart"/>
      <w:r w:rsidRPr="00A710A5">
        <w:rPr>
          <w:sz w:val="24"/>
          <w:szCs w:val="24"/>
        </w:rPr>
        <w:t>People’s</w:t>
      </w:r>
      <w:proofErr w:type="spellEnd"/>
      <w:r w:rsidRPr="00A710A5">
        <w:rPr>
          <w:sz w:val="24"/>
          <w:szCs w:val="24"/>
        </w:rPr>
        <w:t xml:space="preserve"> Organisation“ (also Südwestafrikanische Volksorganisation). Die Vereinten Nationen erkannten 1966 Südafrika das Mandat über Namibia ab, was die südafrikanische Regierung jedoch ignorierte. Die SWAPO nahm daraufhin den militärischen Kampf auf. </w:t>
      </w:r>
      <w:sdt>
        <w:sdtPr>
          <w:rPr>
            <w:sz w:val="24"/>
            <w:szCs w:val="24"/>
          </w:rPr>
          <w:id w:val="1060527062"/>
          <w:citation/>
        </w:sdtPr>
        <w:sdtContent>
          <w:r w:rsidRPr="00A710A5">
            <w:rPr>
              <w:sz w:val="24"/>
              <w:szCs w:val="24"/>
            </w:rPr>
            <w:fldChar w:fldCharType="begin"/>
          </w:r>
          <w:r w:rsidRPr="00A710A5">
            <w:rPr>
              <w:sz w:val="24"/>
              <w:szCs w:val="24"/>
            </w:rPr>
            <w:instrText xml:space="preserve">CITATION kna20 \l 2057 </w:instrText>
          </w:r>
          <w:r w:rsidRPr="00A710A5">
            <w:rPr>
              <w:sz w:val="24"/>
              <w:szCs w:val="24"/>
            </w:rPr>
            <w:fldChar w:fldCharType="separate"/>
          </w:r>
          <w:r w:rsidRPr="001E71B4">
            <w:rPr>
              <w:noProof/>
              <w:sz w:val="24"/>
              <w:szCs w:val="24"/>
            </w:rPr>
            <w:t>[1]</w:t>
          </w:r>
          <w:r w:rsidRPr="00A710A5">
            <w:rPr>
              <w:sz w:val="24"/>
              <w:szCs w:val="24"/>
            </w:rPr>
            <w:fldChar w:fldCharType="end"/>
          </w:r>
        </w:sdtContent>
      </w:sdt>
    </w:p>
    <w:p w14:paraId="47C90B5A" w14:textId="77777777" w:rsidR="00B32EB2" w:rsidRPr="00A710A5" w:rsidRDefault="00B32EB2" w:rsidP="00B32EB2">
      <w:pPr>
        <w:spacing w:line="360" w:lineRule="auto"/>
        <w:ind w:left="567" w:right="567"/>
        <w:rPr>
          <w:sz w:val="24"/>
          <w:szCs w:val="24"/>
        </w:rPr>
      </w:pPr>
      <w:r w:rsidRPr="00A710A5">
        <w:rPr>
          <w:sz w:val="24"/>
          <w:szCs w:val="24"/>
        </w:rPr>
        <w:t xml:space="preserve">Schließlich erkannte die UN-Vollversammlung 1976 die SWAPO als einzige legitime Vertretung des namibischen Volkes an. Durch das Ende des Kalten Krieges und der schleichenden Erosion des Apartheid-Regimes in Südafrika sagte Südafrika Ende 1988 freien Wahlen für Namibia und damit der Freigabe des Gebietes zu. Ende 1989 war es so weit: Namibia hielt die ersten allgemeinen und freien Wahlen ab. Am 21. März 1990 erlangte Namibia seine Unabhängigkeit, mit Sam Nujoma als erstem Präsidenten. Bei den Wahlen 2019 verlor die SWAPO aufgrund von Korruptionsvorwürfen und wirtschaftlichen Problemen deutlich an Unterstützung. </w:t>
      </w:r>
      <w:sdt>
        <w:sdtPr>
          <w:rPr>
            <w:sz w:val="24"/>
            <w:szCs w:val="24"/>
          </w:rPr>
          <w:id w:val="233910195"/>
          <w:citation/>
        </w:sdtPr>
        <w:sdtContent>
          <w:r w:rsidRPr="00A710A5">
            <w:rPr>
              <w:sz w:val="24"/>
              <w:szCs w:val="24"/>
            </w:rPr>
            <w:fldChar w:fldCharType="begin"/>
          </w:r>
          <w:r w:rsidRPr="00A710A5">
            <w:rPr>
              <w:sz w:val="24"/>
              <w:szCs w:val="24"/>
            </w:rPr>
            <w:instrText xml:space="preserve">CITATION kna20 \l 2057 </w:instrText>
          </w:r>
          <w:r w:rsidRPr="00A710A5">
            <w:rPr>
              <w:sz w:val="24"/>
              <w:szCs w:val="24"/>
            </w:rPr>
            <w:fldChar w:fldCharType="separate"/>
          </w:r>
          <w:r w:rsidRPr="001E71B4">
            <w:rPr>
              <w:noProof/>
              <w:sz w:val="24"/>
              <w:szCs w:val="24"/>
            </w:rPr>
            <w:t>[1]</w:t>
          </w:r>
          <w:r w:rsidRPr="00A710A5">
            <w:rPr>
              <w:sz w:val="24"/>
              <w:szCs w:val="24"/>
            </w:rPr>
            <w:fldChar w:fldCharType="end"/>
          </w:r>
        </w:sdtContent>
      </w:sdt>
    </w:p>
    <w:p w14:paraId="54950A2B" w14:textId="36976EC0" w:rsidR="00843AAD" w:rsidRDefault="00B32EB2" w:rsidP="00843AAD">
      <w:pPr>
        <w:spacing w:line="360" w:lineRule="auto"/>
        <w:ind w:left="567" w:right="567"/>
        <w:rPr>
          <w:sz w:val="24"/>
          <w:szCs w:val="24"/>
        </w:rPr>
      </w:pPr>
      <w:r w:rsidRPr="00A710A5">
        <w:rPr>
          <w:sz w:val="24"/>
          <w:szCs w:val="24"/>
        </w:rPr>
        <w:lastRenderedPageBreak/>
        <w:t>2021 war Deutschland schließlich dazu bereit, Entschädigungszahlungen in Milliardenhöhe zu gewährleisten und offiziell um Vergebung für die Verbrechen des Deutschen Reiches als Kolonialmacht um Vergebung zu bitten.</w:t>
      </w:r>
      <w:sdt>
        <w:sdtPr>
          <w:rPr>
            <w:sz w:val="24"/>
            <w:szCs w:val="24"/>
          </w:rPr>
          <w:id w:val="-213889661"/>
          <w:citation/>
        </w:sdtPr>
        <w:sdtContent>
          <w:r w:rsidRPr="00A710A5">
            <w:rPr>
              <w:sz w:val="24"/>
              <w:szCs w:val="24"/>
            </w:rPr>
            <w:fldChar w:fldCharType="begin"/>
          </w:r>
          <w:r w:rsidRPr="00A710A5">
            <w:rPr>
              <w:sz w:val="24"/>
              <w:szCs w:val="24"/>
            </w:rPr>
            <w:instrText xml:space="preserve">CITATION Chr21 \l 2057 </w:instrText>
          </w:r>
          <w:r w:rsidRPr="00A710A5">
            <w:rPr>
              <w:sz w:val="24"/>
              <w:szCs w:val="24"/>
            </w:rPr>
            <w:fldChar w:fldCharType="separate"/>
          </w:r>
          <w:r>
            <w:rPr>
              <w:noProof/>
              <w:sz w:val="24"/>
              <w:szCs w:val="24"/>
            </w:rPr>
            <w:t xml:space="preserve"> </w:t>
          </w:r>
          <w:r w:rsidRPr="001E71B4">
            <w:rPr>
              <w:noProof/>
              <w:sz w:val="24"/>
              <w:szCs w:val="24"/>
            </w:rPr>
            <w:t>[5]</w:t>
          </w:r>
          <w:r w:rsidRPr="00A710A5">
            <w:rPr>
              <w:sz w:val="24"/>
              <w:szCs w:val="24"/>
            </w:rPr>
            <w:fldChar w:fldCharType="end"/>
          </w:r>
        </w:sdtContent>
      </w:sdt>
    </w:p>
    <w:p w14:paraId="435C202A" w14:textId="77777777" w:rsidR="00100106" w:rsidRPr="00D201D3" w:rsidRDefault="00100106" w:rsidP="00100106">
      <w:pPr>
        <w:pStyle w:val="Heading2"/>
      </w:pPr>
      <w:bookmarkStart w:id="8" w:name="_Toc165488524"/>
      <w:r w:rsidRPr="00D201D3">
        <w:t>Geschichte: Story</w:t>
      </w:r>
      <w:bookmarkEnd w:id="8"/>
    </w:p>
    <w:p w14:paraId="404AC971" w14:textId="77777777" w:rsidR="00100106" w:rsidRPr="00A710A5" w:rsidRDefault="00100106" w:rsidP="00100106">
      <w:pPr>
        <w:spacing w:line="360" w:lineRule="auto"/>
        <w:ind w:left="567" w:right="566"/>
        <w:rPr>
          <w:sz w:val="24"/>
          <w:szCs w:val="24"/>
        </w:rPr>
      </w:pPr>
      <w:r w:rsidRPr="00A710A5">
        <w:rPr>
          <w:sz w:val="24"/>
          <w:szCs w:val="24"/>
        </w:rPr>
        <w:t>Unsere Story beinhaltet mehrere verschiedene Wege, je nachdem, welche Entscheidungen der Spieler trifft. Zu Beginn des Adventures kann man sich außerdem zwischen 2 Perspektiven entscheiden (pro Perspektive gibt es auch andere Entscheidungsmöglichkeiten), einerseits aus der Sicht des Kolonialisten, der sich in eine Sklavin verliebt, und andererseits aus der Sicht der Sklavin. Der Spieler kann die Geschehnisse und somit auch die Enden maßgeblich beeinflussen.</w:t>
      </w:r>
    </w:p>
    <w:p w14:paraId="101EDA42" w14:textId="3172739E" w:rsidR="00100106" w:rsidRPr="00F142C7" w:rsidRDefault="00100106" w:rsidP="00100106">
      <w:pPr>
        <w:pStyle w:val="Heading3"/>
        <w:rPr>
          <w:rFonts w:ascii="Baguet Script" w:hAnsi="Baguet Script"/>
        </w:rPr>
      </w:pPr>
      <w:bookmarkStart w:id="9" w:name="_Toc165488525"/>
      <w:r w:rsidRPr="00F142C7">
        <w:rPr>
          <w:rFonts w:ascii="Baguet Script" w:hAnsi="Baguet Script"/>
        </w:rPr>
        <w:t xml:space="preserve">Geschichte aus der </w:t>
      </w:r>
      <w:r w:rsidR="00A318AF" w:rsidRPr="00F142C7">
        <w:rPr>
          <w:rFonts w:ascii="Baguet Script" w:hAnsi="Baguet Script"/>
        </w:rPr>
        <w:t>Perspektive des Kolonialisten</w:t>
      </w:r>
      <w:r w:rsidRPr="00F142C7">
        <w:rPr>
          <w:rFonts w:ascii="Baguet Script" w:hAnsi="Baguet Script"/>
        </w:rPr>
        <w:t>:</w:t>
      </w:r>
      <w:bookmarkEnd w:id="9"/>
    </w:p>
    <w:p w14:paraId="0AA7C02A" w14:textId="77777777" w:rsidR="00100106" w:rsidRPr="00A710A5" w:rsidRDefault="00100106" w:rsidP="00100106">
      <w:pPr>
        <w:spacing w:line="360" w:lineRule="auto"/>
        <w:ind w:left="567" w:right="566"/>
        <w:rPr>
          <w:sz w:val="24"/>
          <w:szCs w:val="24"/>
        </w:rPr>
      </w:pPr>
      <w:r w:rsidRPr="00A710A5">
        <w:rPr>
          <w:sz w:val="24"/>
          <w:szCs w:val="24"/>
        </w:rPr>
        <w:t xml:space="preserve">Wir schreiben das Jahr 1912. Der 24-jährige Hauptmann Rudolf Wolfram verabschiedet sich von seiner Frau Luise und seiner 6 Jahre alten Tochter Anja. Er fährt mit einer Kutsche nach Genua und von da aus per Schiff nach Namibia. </w:t>
      </w:r>
    </w:p>
    <w:p w14:paraId="6083C8D9" w14:textId="77777777" w:rsidR="00100106" w:rsidRPr="00A710A5" w:rsidRDefault="00100106" w:rsidP="00100106">
      <w:pPr>
        <w:spacing w:line="360" w:lineRule="auto"/>
        <w:ind w:left="567" w:right="566"/>
        <w:rPr>
          <w:sz w:val="24"/>
          <w:szCs w:val="24"/>
        </w:rPr>
      </w:pPr>
      <w:r w:rsidRPr="00A710A5">
        <w:rPr>
          <w:sz w:val="24"/>
          <w:szCs w:val="24"/>
        </w:rPr>
        <w:t xml:space="preserve">Am Schiff steht er an einem Seemannssonntag (Donnerstag mit sehr gutem Essen) vor der Entscheidung, ob er Fisch mit Kartoffeln, getrocknete Bohnen, oder Haferbrei mit Zimt essen soll. Je nach Entscheidung lernt er den Major Albrecht von Vogel auf unterschiedliche Art kennen, mit dem er sich auf Anhieb gut versteht. </w:t>
      </w:r>
      <w:sdt>
        <w:sdtPr>
          <w:rPr>
            <w:sz w:val="24"/>
            <w:szCs w:val="24"/>
          </w:rPr>
          <w:id w:val="-146511450"/>
          <w:citation/>
        </w:sdtPr>
        <w:sdtContent>
          <w:r w:rsidRPr="00A710A5">
            <w:rPr>
              <w:sz w:val="24"/>
              <w:szCs w:val="24"/>
            </w:rPr>
            <w:fldChar w:fldCharType="begin"/>
          </w:r>
          <w:r w:rsidRPr="00A710A5">
            <w:rPr>
              <w:sz w:val="24"/>
              <w:szCs w:val="24"/>
            </w:rPr>
            <w:instrText xml:space="preserve">CITATION Kat24 \l 2057 </w:instrText>
          </w:r>
          <w:r w:rsidRPr="00A710A5">
            <w:rPr>
              <w:sz w:val="24"/>
              <w:szCs w:val="24"/>
            </w:rPr>
            <w:fldChar w:fldCharType="separate"/>
          </w:r>
          <w:r w:rsidRPr="001E71B4">
            <w:rPr>
              <w:noProof/>
              <w:sz w:val="24"/>
              <w:szCs w:val="24"/>
            </w:rPr>
            <w:t>[6]</w:t>
          </w:r>
          <w:r w:rsidRPr="00A710A5">
            <w:rPr>
              <w:sz w:val="24"/>
              <w:szCs w:val="24"/>
            </w:rPr>
            <w:fldChar w:fldCharType="end"/>
          </w:r>
        </w:sdtContent>
      </w:sdt>
    </w:p>
    <w:p w14:paraId="3ABD1283" w14:textId="5B557100" w:rsidR="00100106" w:rsidRPr="00A710A5" w:rsidRDefault="00100106" w:rsidP="00100106">
      <w:pPr>
        <w:spacing w:line="360" w:lineRule="auto"/>
        <w:ind w:left="567" w:right="566"/>
        <w:rPr>
          <w:sz w:val="24"/>
          <w:szCs w:val="24"/>
        </w:rPr>
      </w:pPr>
      <w:r w:rsidRPr="00A710A5">
        <w:rPr>
          <w:sz w:val="24"/>
          <w:szCs w:val="24"/>
        </w:rPr>
        <w:t xml:space="preserve">Aus unterschiedlichen Gründen werden Rudolf und Albrecht krank, und auf der Krankenstation am Militärstandort in Namibia lernen sie </w:t>
      </w:r>
      <w:proofErr w:type="spellStart"/>
      <w:r w:rsidRPr="00A710A5">
        <w:rPr>
          <w:sz w:val="24"/>
          <w:szCs w:val="24"/>
        </w:rPr>
        <w:t>Niya</w:t>
      </w:r>
      <w:proofErr w:type="spellEnd"/>
      <w:r w:rsidRPr="00A710A5">
        <w:rPr>
          <w:sz w:val="24"/>
          <w:szCs w:val="24"/>
        </w:rPr>
        <w:t xml:space="preserve"> kennen. Rudolf verliebt sich in </w:t>
      </w:r>
      <w:proofErr w:type="spellStart"/>
      <w:r w:rsidRPr="00A710A5">
        <w:rPr>
          <w:sz w:val="24"/>
          <w:szCs w:val="24"/>
        </w:rPr>
        <w:t>Niya</w:t>
      </w:r>
      <w:proofErr w:type="spellEnd"/>
      <w:r w:rsidRPr="00A710A5">
        <w:rPr>
          <w:sz w:val="24"/>
          <w:szCs w:val="24"/>
        </w:rPr>
        <w:t xml:space="preserve"> und es gibt mehrere Möglichkeiten, damit umzugehen. Als </w:t>
      </w:r>
      <w:proofErr w:type="spellStart"/>
      <w:r w:rsidRPr="00A710A5">
        <w:rPr>
          <w:sz w:val="24"/>
          <w:szCs w:val="24"/>
        </w:rPr>
        <w:t>Niya</w:t>
      </w:r>
      <w:proofErr w:type="spellEnd"/>
      <w:r w:rsidRPr="00A710A5">
        <w:rPr>
          <w:sz w:val="24"/>
          <w:szCs w:val="24"/>
        </w:rPr>
        <w:t xml:space="preserve"> in die Minen zurückmuss, ist er sehr traurig. Währenddessen bekommt Rudolf die Möglichkeit, einen Krankenurlaub bei seiner Frau zu machen. Eines führt zum anderen, und die Frau lässt sich von ihm scheiden. Daraufhin geht er zurück nach Namibia</w:t>
      </w:r>
      <w:r w:rsidR="00B04D51">
        <w:rPr>
          <w:sz w:val="24"/>
          <w:szCs w:val="24"/>
        </w:rPr>
        <w:t>.</w:t>
      </w:r>
    </w:p>
    <w:p w14:paraId="027BF1BA" w14:textId="77777777" w:rsidR="00100106" w:rsidRPr="00A710A5" w:rsidRDefault="00100106" w:rsidP="00100106">
      <w:pPr>
        <w:spacing w:line="360" w:lineRule="auto"/>
        <w:ind w:left="567" w:right="566"/>
        <w:rPr>
          <w:sz w:val="24"/>
          <w:szCs w:val="24"/>
        </w:rPr>
      </w:pPr>
      <w:r w:rsidRPr="00A710A5">
        <w:rPr>
          <w:sz w:val="24"/>
          <w:szCs w:val="24"/>
        </w:rPr>
        <w:t xml:space="preserve">Sobald Rudolf wieder in Namibia ist, schlägt er </w:t>
      </w:r>
      <w:proofErr w:type="spellStart"/>
      <w:r w:rsidRPr="00A710A5">
        <w:rPr>
          <w:sz w:val="24"/>
          <w:szCs w:val="24"/>
        </w:rPr>
        <w:t>Niya</w:t>
      </w:r>
      <w:proofErr w:type="spellEnd"/>
      <w:r w:rsidRPr="00A710A5">
        <w:rPr>
          <w:sz w:val="24"/>
          <w:szCs w:val="24"/>
        </w:rPr>
        <w:t xml:space="preserve"> vor, gemeinsam zu flüchten. Als sie ihm zusagt, flüchten sie ins Landesinnere in den Regenwald. </w:t>
      </w:r>
      <w:proofErr w:type="spellStart"/>
      <w:r w:rsidRPr="00A710A5">
        <w:rPr>
          <w:sz w:val="24"/>
          <w:szCs w:val="24"/>
        </w:rPr>
        <w:t>Niya</w:t>
      </w:r>
      <w:proofErr w:type="spellEnd"/>
      <w:r w:rsidRPr="00A710A5">
        <w:rPr>
          <w:sz w:val="24"/>
          <w:szCs w:val="24"/>
        </w:rPr>
        <w:t xml:space="preserve"> und Rudolf lebten glücklich bis ans Ende ihrer Tage.</w:t>
      </w:r>
    </w:p>
    <w:p w14:paraId="67F520A5" w14:textId="73C09F85" w:rsidR="00100106" w:rsidRPr="00F142C7" w:rsidRDefault="00100106" w:rsidP="00100106">
      <w:pPr>
        <w:pStyle w:val="Heading3"/>
        <w:rPr>
          <w:rFonts w:ascii="Baguet Script" w:hAnsi="Baguet Script"/>
        </w:rPr>
      </w:pPr>
      <w:bookmarkStart w:id="10" w:name="_Toc165488526"/>
      <w:r w:rsidRPr="00F142C7">
        <w:rPr>
          <w:rFonts w:ascii="Baguet Script" w:hAnsi="Baguet Script"/>
        </w:rPr>
        <w:t xml:space="preserve">Geschichte aus der </w:t>
      </w:r>
      <w:r w:rsidR="00A318AF" w:rsidRPr="00F142C7">
        <w:rPr>
          <w:rFonts w:ascii="Baguet Script" w:hAnsi="Baguet Script"/>
        </w:rPr>
        <w:t>Perspektive der Sklavin</w:t>
      </w:r>
      <w:r w:rsidRPr="00F142C7">
        <w:rPr>
          <w:rFonts w:ascii="Baguet Script" w:hAnsi="Baguet Script"/>
        </w:rPr>
        <w:t>:</w:t>
      </w:r>
      <w:bookmarkEnd w:id="10"/>
    </w:p>
    <w:p w14:paraId="12654794" w14:textId="6A808C4C" w:rsidR="00843AAD" w:rsidRPr="00A710A5" w:rsidRDefault="00100106" w:rsidP="00843AAD">
      <w:pPr>
        <w:spacing w:line="360" w:lineRule="auto"/>
        <w:ind w:left="567" w:right="566"/>
        <w:rPr>
          <w:sz w:val="24"/>
          <w:szCs w:val="24"/>
        </w:rPr>
      </w:pPr>
      <w:r w:rsidRPr="00A710A5">
        <w:rPr>
          <w:sz w:val="24"/>
          <w:szCs w:val="24"/>
        </w:rPr>
        <w:t xml:space="preserve">Die 16-jährige Sklavin </w:t>
      </w:r>
      <w:proofErr w:type="spellStart"/>
      <w:r w:rsidRPr="00A710A5">
        <w:rPr>
          <w:sz w:val="24"/>
          <w:szCs w:val="24"/>
        </w:rPr>
        <w:t>Niya</w:t>
      </w:r>
      <w:proofErr w:type="spellEnd"/>
      <w:r w:rsidRPr="00A710A5">
        <w:rPr>
          <w:sz w:val="24"/>
          <w:szCs w:val="24"/>
        </w:rPr>
        <w:t xml:space="preserve"> gehört zum Volk der </w:t>
      </w:r>
      <w:proofErr w:type="spellStart"/>
      <w:r w:rsidRPr="00A710A5">
        <w:rPr>
          <w:sz w:val="24"/>
          <w:szCs w:val="24"/>
        </w:rPr>
        <w:t>Nama</w:t>
      </w:r>
      <w:proofErr w:type="spellEnd"/>
      <w:r w:rsidRPr="00A710A5">
        <w:rPr>
          <w:sz w:val="24"/>
          <w:szCs w:val="24"/>
        </w:rPr>
        <w:t xml:space="preserve">. Sie gehört einer armen Familie mit gesamt 10 Geschwistern an. Als sie erfährt, dass sie aus den Minen (in denen sie für den Abbau von Rohdiamanten zuständig ist) raus darf und in der Krankenstation zwei Soldaten versorgen soll, ist sie überglücklich über die Abwechslung. Dabei lernt sie den Kolonialisten Rudolf kennen. </w:t>
      </w:r>
      <w:proofErr w:type="spellStart"/>
      <w:r w:rsidRPr="00A710A5">
        <w:rPr>
          <w:sz w:val="24"/>
          <w:szCs w:val="24"/>
        </w:rPr>
        <w:t>Niya</w:t>
      </w:r>
      <w:proofErr w:type="spellEnd"/>
      <w:r w:rsidRPr="00A710A5">
        <w:rPr>
          <w:sz w:val="24"/>
          <w:szCs w:val="24"/>
        </w:rPr>
        <w:t xml:space="preserve"> bekommt mit, dass er auf sie steht. Es gibt mehrere Möglichkeiten, wie sie damit umgeht, zumal sie außerdem in jemanden aus der Mine verliebt ist. Sobald sie wieder auf Rudolf trifft, ist der Verlauf der Geschichte gleich zu der aus seiner Perspektive.</w:t>
      </w:r>
    </w:p>
    <w:p w14:paraId="76B935C0" w14:textId="77777777" w:rsidR="00100106" w:rsidRPr="00F142C7" w:rsidRDefault="00100106" w:rsidP="00100106">
      <w:pPr>
        <w:pStyle w:val="Heading3"/>
        <w:rPr>
          <w:rFonts w:ascii="Baguet Script" w:hAnsi="Baguet Script"/>
        </w:rPr>
      </w:pPr>
      <w:bookmarkStart w:id="11" w:name="_Toc165488527"/>
      <w:r w:rsidRPr="00F142C7">
        <w:rPr>
          <w:rFonts w:ascii="Baguet Script" w:hAnsi="Baguet Script"/>
        </w:rPr>
        <w:lastRenderedPageBreak/>
        <w:t>Alternative Enden</w:t>
      </w:r>
      <w:bookmarkEnd w:id="11"/>
    </w:p>
    <w:p w14:paraId="3A5003E2" w14:textId="77777777" w:rsidR="00100106" w:rsidRPr="00A710A5" w:rsidRDefault="00100106" w:rsidP="00100106">
      <w:pPr>
        <w:spacing w:line="360" w:lineRule="auto"/>
        <w:ind w:left="567" w:right="566"/>
        <w:rPr>
          <w:sz w:val="24"/>
          <w:szCs w:val="24"/>
        </w:rPr>
      </w:pPr>
      <w:r w:rsidRPr="00A710A5">
        <w:rPr>
          <w:sz w:val="24"/>
          <w:szCs w:val="24"/>
        </w:rPr>
        <w:t xml:space="preserve">Je nachdem, wie sich der Spieler für den Charakter entscheidet, gibt es außerdem noch folgende Enden: </w:t>
      </w:r>
    </w:p>
    <w:p w14:paraId="2AB1B5C4" w14:textId="77777777" w:rsidR="00100106" w:rsidRPr="00A710A5" w:rsidRDefault="00100106" w:rsidP="00100106">
      <w:pPr>
        <w:pStyle w:val="ListParagraph"/>
        <w:numPr>
          <w:ilvl w:val="0"/>
          <w:numId w:val="12"/>
        </w:numPr>
        <w:spacing w:line="360" w:lineRule="auto"/>
        <w:ind w:left="993" w:right="566"/>
        <w:rPr>
          <w:sz w:val="24"/>
          <w:szCs w:val="24"/>
        </w:rPr>
      </w:pPr>
      <w:r w:rsidRPr="00A710A5">
        <w:rPr>
          <w:sz w:val="24"/>
          <w:szCs w:val="24"/>
        </w:rPr>
        <w:t>Rudolf stirbt an einer ineffizienten Behandlungsmethode (Voodoo)</w:t>
      </w:r>
    </w:p>
    <w:p w14:paraId="7E96F0AC" w14:textId="77777777" w:rsidR="00100106" w:rsidRPr="00A710A5" w:rsidRDefault="00100106" w:rsidP="00100106">
      <w:pPr>
        <w:pStyle w:val="ListParagraph"/>
        <w:numPr>
          <w:ilvl w:val="0"/>
          <w:numId w:val="12"/>
        </w:numPr>
        <w:spacing w:line="360" w:lineRule="auto"/>
        <w:ind w:left="993" w:right="566"/>
        <w:rPr>
          <w:sz w:val="24"/>
          <w:szCs w:val="24"/>
        </w:rPr>
      </w:pPr>
      <w:proofErr w:type="spellStart"/>
      <w:r w:rsidRPr="00A710A5">
        <w:rPr>
          <w:sz w:val="24"/>
          <w:szCs w:val="24"/>
        </w:rPr>
        <w:t>Niya</w:t>
      </w:r>
      <w:proofErr w:type="spellEnd"/>
      <w:r w:rsidRPr="00A710A5">
        <w:rPr>
          <w:sz w:val="24"/>
          <w:szCs w:val="24"/>
        </w:rPr>
        <w:t xml:space="preserve"> ertränkt sich aufgrund ihrer Depressionen</w:t>
      </w:r>
    </w:p>
    <w:p w14:paraId="7F9BF9D5" w14:textId="77777777" w:rsidR="00100106" w:rsidRPr="00A710A5" w:rsidRDefault="00100106" w:rsidP="00100106">
      <w:pPr>
        <w:pStyle w:val="ListParagraph"/>
        <w:numPr>
          <w:ilvl w:val="0"/>
          <w:numId w:val="12"/>
        </w:numPr>
        <w:spacing w:line="360" w:lineRule="auto"/>
        <w:ind w:left="993" w:right="566"/>
        <w:rPr>
          <w:sz w:val="24"/>
          <w:szCs w:val="24"/>
        </w:rPr>
      </w:pPr>
      <w:proofErr w:type="spellStart"/>
      <w:r w:rsidRPr="00A710A5">
        <w:rPr>
          <w:sz w:val="24"/>
          <w:szCs w:val="24"/>
        </w:rPr>
        <w:t>Niya</w:t>
      </w:r>
      <w:proofErr w:type="spellEnd"/>
      <w:r w:rsidRPr="00A710A5">
        <w:rPr>
          <w:sz w:val="24"/>
          <w:szCs w:val="24"/>
        </w:rPr>
        <w:t xml:space="preserve"> und ihr Schwarm aus der Mine flüchten gemeinsam</w:t>
      </w:r>
    </w:p>
    <w:p w14:paraId="1DCC4A41" w14:textId="77777777" w:rsidR="00100106" w:rsidRPr="00A710A5" w:rsidRDefault="00100106" w:rsidP="00100106">
      <w:pPr>
        <w:pStyle w:val="ListParagraph"/>
        <w:numPr>
          <w:ilvl w:val="0"/>
          <w:numId w:val="12"/>
        </w:numPr>
        <w:spacing w:line="360" w:lineRule="auto"/>
        <w:ind w:left="993" w:right="566"/>
        <w:rPr>
          <w:sz w:val="24"/>
          <w:szCs w:val="24"/>
        </w:rPr>
      </w:pPr>
      <w:proofErr w:type="spellStart"/>
      <w:r w:rsidRPr="00A710A5">
        <w:rPr>
          <w:sz w:val="24"/>
          <w:szCs w:val="24"/>
        </w:rPr>
        <w:t>Niya</w:t>
      </w:r>
      <w:proofErr w:type="spellEnd"/>
      <w:r w:rsidRPr="00A710A5">
        <w:rPr>
          <w:sz w:val="24"/>
          <w:szCs w:val="24"/>
        </w:rPr>
        <w:t xml:space="preserve"> flüchtet vor Rudolf, da sie nicht wirklich auf ihn steht und wird von den Menschen am Bord des Schiffes, mit dem sie außer Reichweite kommen will, entdeckt und ermordet</w:t>
      </w:r>
    </w:p>
    <w:p w14:paraId="41496C6A" w14:textId="77777777" w:rsidR="00100106" w:rsidRPr="00A710A5" w:rsidRDefault="00100106" w:rsidP="00100106">
      <w:pPr>
        <w:pStyle w:val="ListParagraph"/>
        <w:numPr>
          <w:ilvl w:val="0"/>
          <w:numId w:val="12"/>
        </w:numPr>
        <w:spacing w:line="360" w:lineRule="auto"/>
        <w:ind w:left="993" w:right="566"/>
        <w:rPr>
          <w:sz w:val="24"/>
          <w:szCs w:val="24"/>
        </w:rPr>
      </w:pPr>
      <w:proofErr w:type="spellStart"/>
      <w:r w:rsidRPr="00A710A5">
        <w:rPr>
          <w:sz w:val="24"/>
          <w:szCs w:val="24"/>
        </w:rPr>
        <w:t>Niya</w:t>
      </w:r>
      <w:proofErr w:type="spellEnd"/>
      <w:r w:rsidRPr="00A710A5">
        <w:rPr>
          <w:sz w:val="24"/>
          <w:szCs w:val="24"/>
        </w:rPr>
        <w:t xml:space="preserve"> wird am Bord des Schiffes nicht entdeckt und lebte glücklich bis ans Ende ihrer Tage</w:t>
      </w:r>
    </w:p>
    <w:p w14:paraId="38D0FF51" w14:textId="77777777" w:rsidR="00100106" w:rsidRPr="00A710A5" w:rsidRDefault="00100106" w:rsidP="00100106">
      <w:pPr>
        <w:pStyle w:val="ListParagraph"/>
        <w:numPr>
          <w:ilvl w:val="0"/>
          <w:numId w:val="12"/>
        </w:numPr>
        <w:spacing w:line="360" w:lineRule="auto"/>
        <w:ind w:left="993" w:right="566"/>
        <w:rPr>
          <w:sz w:val="24"/>
          <w:szCs w:val="24"/>
        </w:rPr>
      </w:pPr>
      <w:r w:rsidRPr="00A710A5">
        <w:rPr>
          <w:sz w:val="24"/>
          <w:szCs w:val="24"/>
        </w:rPr>
        <w:t>Rudolf erschießt sich</w:t>
      </w:r>
    </w:p>
    <w:p w14:paraId="44DF93FA" w14:textId="77777777" w:rsidR="00100106" w:rsidRPr="00A710A5" w:rsidRDefault="00100106" w:rsidP="00100106">
      <w:pPr>
        <w:pStyle w:val="ListParagraph"/>
        <w:numPr>
          <w:ilvl w:val="0"/>
          <w:numId w:val="12"/>
        </w:numPr>
        <w:spacing w:line="360" w:lineRule="auto"/>
        <w:ind w:left="993" w:right="566"/>
        <w:rPr>
          <w:sz w:val="24"/>
          <w:szCs w:val="24"/>
        </w:rPr>
      </w:pPr>
      <w:proofErr w:type="spellStart"/>
      <w:r w:rsidRPr="00A710A5">
        <w:rPr>
          <w:sz w:val="24"/>
          <w:szCs w:val="24"/>
        </w:rPr>
        <w:t>Niya</w:t>
      </w:r>
      <w:proofErr w:type="spellEnd"/>
      <w:r w:rsidRPr="00A710A5">
        <w:rPr>
          <w:sz w:val="24"/>
          <w:szCs w:val="24"/>
        </w:rPr>
        <w:t xml:space="preserve"> stirbt im Gefängnis an einer für Rudolf unbekannten Krankheit</w:t>
      </w:r>
    </w:p>
    <w:p w14:paraId="503CB795" w14:textId="77777777" w:rsidR="00100106" w:rsidRPr="00A710A5" w:rsidRDefault="00100106" w:rsidP="00100106">
      <w:pPr>
        <w:pStyle w:val="ListParagraph"/>
        <w:numPr>
          <w:ilvl w:val="0"/>
          <w:numId w:val="12"/>
        </w:numPr>
        <w:spacing w:line="360" w:lineRule="auto"/>
        <w:ind w:left="993" w:right="566"/>
        <w:rPr>
          <w:sz w:val="24"/>
          <w:szCs w:val="24"/>
        </w:rPr>
      </w:pPr>
      <w:r w:rsidRPr="00A710A5">
        <w:rPr>
          <w:sz w:val="24"/>
          <w:szCs w:val="24"/>
        </w:rPr>
        <w:t>Rudolfs Frau Luise bringt sich um</w:t>
      </w:r>
    </w:p>
    <w:p w14:paraId="445BC032" w14:textId="77777777" w:rsidR="00100106" w:rsidRPr="00A710A5" w:rsidRDefault="00100106" w:rsidP="00100106">
      <w:pPr>
        <w:pStyle w:val="ListParagraph"/>
        <w:numPr>
          <w:ilvl w:val="0"/>
          <w:numId w:val="12"/>
        </w:numPr>
        <w:spacing w:line="360" w:lineRule="auto"/>
        <w:ind w:left="993" w:right="566"/>
        <w:rPr>
          <w:sz w:val="24"/>
          <w:szCs w:val="24"/>
        </w:rPr>
      </w:pPr>
      <w:r w:rsidRPr="00A710A5">
        <w:rPr>
          <w:sz w:val="24"/>
          <w:szCs w:val="24"/>
        </w:rPr>
        <w:t>Rudolf und Albrecht kommen zusammen, flüchten gemeinsam in den Regenwald und lebten glücklich bis ans Ende ihrer Tage</w:t>
      </w:r>
    </w:p>
    <w:p w14:paraId="0EE91BAE" w14:textId="77777777" w:rsidR="00100106" w:rsidRPr="00A710A5" w:rsidRDefault="00100106" w:rsidP="00100106">
      <w:pPr>
        <w:pStyle w:val="ListParagraph"/>
        <w:numPr>
          <w:ilvl w:val="0"/>
          <w:numId w:val="12"/>
        </w:numPr>
        <w:spacing w:line="360" w:lineRule="auto"/>
        <w:ind w:left="993" w:right="566"/>
        <w:rPr>
          <w:sz w:val="24"/>
          <w:szCs w:val="24"/>
        </w:rPr>
      </w:pPr>
      <w:proofErr w:type="spellStart"/>
      <w:r w:rsidRPr="00A710A5">
        <w:rPr>
          <w:sz w:val="24"/>
          <w:szCs w:val="24"/>
        </w:rPr>
        <w:t>Niya</w:t>
      </w:r>
      <w:proofErr w:type="spellEnd"/>
      <w:r w:rsidRPr="00A710A5">
        <w:rPr>
          <w:sz w:val="24"/>
          <w:szCs w:val="24"/>
        </w:rPr>
        <w:t xml:space="preserve"> ist schwanger, sie flüchten trotzdem gemeinsam in den Regenwald. </w:t>
      </w:r>
      <w:proofErr w:type="spellStart"/>
      <w:r w:rsidRPr="00A710A5">
        <w:rPr>
          <w:sz w:val="24"/>
          <w:szCs w:val="24"/>
        </w:rPr>
        <w:t>Niya</w:t>
      </w:r>
      <w:proofErr w:type="spellEnd"/>
      <w:r w:rsidRPr="00A710A5">
        <w:rPr>
          <w:sz w:val="24"/>
          <w:szCs w:val="24"/>
        </w:rPr>
        <w:t xml:space="preserve"> stirbt und er muss das Kind allein aufziehen</w:t>
      </w:r>
    </w:p>
    <w:p w14:paraId="1FD789B3" w14:textId="1E84F239" w:rsidR="00100106" w:rsidRPr="00F142C7" w:rsidRDefault="00A318AF" w:rsidP="00100106">
      <w:pPr>
        <w:pStyle w:val="Heading3"/>
        <w:rPr>
          <w:rFonts w:ascii="Baguet Script" w:hAnsi="Baguet Script"/>
        </w:rPr>
      </w:pPr>
      <w:bookmarkStart w:id="12" w:name="_Toc165488528"/>
      <w:r w:rsidRPr="00F142C7">
        <w:rPr>
          <w:rFonts w:ascii="Baguet Script" w:hAnsi="Baguet Script"/>
        </w:rPr>
        <w:t>Z</w:t>
      </w:r>
      <w:r w:rsidR="00100106" w:rsidRPr="00F142C7">
        <w:rPr>
          <w:rFonts w:ascii="Baguet Script" w:hAnsi="Baguet Script"/>
        </w:rPr>
        <w:t xml:space="preserve">eitliche </w:t>
      </w:r>
      <w:r w:rsidRPr="00F142C7">
        <w:rPr>
          <w:rFonts w:ascii="Baguet Script" w:hAnsi="Baguet Script"/>
        </w:rPr>
        <w:t>E</w:t>
      </w:r>
      <w:r w:rsidR="00100106" w:rsidRPr="00F142C7">
        <w:rPr>
          <w:rFonts w:ascii="Baguet Script" w:hAnsi="Baguet Script"/>
        </w:rPr>
        <w:t>inordnung</w:t>
      </w:r>
      <w:bookmarkEnd w:id="12"/>
    </w:p>
    <w:p w14:paraId="2ACA674E" w14:textId="77777777" w:rsidR="00100106" w:rsidRPr="00A710A5" w:rsidRDefault="00100106" w:rsidP="00100106">
      <w:pPr>
        <w:spacing w:line="360" w:lineRule="auto"/>
        <w:ind w:left="567" w:right="566"/>
        <w:rPr>
          <w:sz w:val="24"/>
          <w:szCs w:val="24"/>
        </w:rPr>
      </w:pPr>
      <w:r w:rsidRPr="00A710A5">
        <w:rPr>
          <w:sz w:val="24"/>
          <w:szCs w:val="24"/>
        </w:rPr>
        <w:t xml:space="preserve">Unsere Geschichte fängt 1912 an. Damals hatte Deutschland eine Kolonie in Namibia, und unsere Geschichte spielt in einer Militärbasis an der Küste. Die Sklavin </w:t>
      </w:r>
      <w:proofErr w:type="spellStart"/>
      <w:r w:rsidRPr="00A710A5">
        <w:rPr>
          <w:sz w:val="24"/>
          <w:szCs w:val="24"/>
        </w:rPr>
        <w:t>Niya</w:t>
      </w:r>
      <w:proofErr w:type="spellEnd"/>
      <w:r w:rsidRPr="00A710A5">
        <w:rPr>
          <w:sz w:val="24"/>
          <w:szCs w:val="24"/>
        </w:rPr>
        <w:t xml:space="preserve"> arbeitet seit sie klein ist in den Minen, um Diamanten und Kupfer abzubauen, da dies die Hauptressourcen Namibias sind. </w:t>
      </w:r>
      <w:proofErr w:type="spellStart"/>
      <w:r w:rsidRPr="00A710A5">
        <w:rPr>
          <w:sz w:val="24"/>
          <w:szCs w:val="24"/>
        </w:rPr>
        <w:t>Niya</w:t>
      </w:r>
      <w:proofErr w:type="spellEnd"/>
      <w:r w:rsidRPr="00A710A5">
        <w:rPr>
          <w:sz w:val="24"/>
          <w:szCs w:val="24"/>
        </w:rPr>
        <w:t xml:space="preserve"> gehört zum Volk der </w:t>
      </w:r>
      <w:proofErr w:type="spellStart"/>
      <w:r w:rsidRPr="00A710A5">
        <w:rPr>
          <w:sz w:val="24"/>
          <w:szCs w:val="24"/>
        </w:rPr>
        <w:t>Nama</w:t>
      </w:r>
      <w:proofErr w:type="spellEnd"/>
      <w:r w:rsidRPr="00A710A5">
        <w:rPr>
          <w:sz w:val="24"/>
          <w:szCs w:val="24"/>
        </w:rPr>
        <w:t xml:space="preserve">, das damals systematisch von den deutschen Besatzern ausgebeutet wurde. Zum Beispiel mussten die </w:t>
      </w:r>
      <w:proofErr w:type="spellStart"/>
      <w:r w:rsidRPr="00A710A5">
        <w:rPr>
          <w:sz w:val="24"/>
          <w:szCs w:val="24"/>
        </w:rPr>
        <w:t>Nama</w:t>
      </w:r>
      <w:proofErr w:type="spellEnd"/>
      <w:r w:rsidRPr="00A710A5">
        <w:rPr>
          <w:sz w:val="24"/>
          <w:szCs w:val="24"/>
        </w:rPr>
        <w:t xml:space="preserve"> 1905 und 1907 ihr gesamtes Land und Vieh abgeben und für die Kolonialisten arbeiten.</w:t>
      </w:r>
      <w:sdt>
        <w:sdtPr>
          <w:rPr>
            <w:sz w:val="24"/>
            <w:szCs w:val="24"/>
          </w:rPr>
          <w:id w:val="1707759347"/>
          <w:citation/>
        </w:sdtPr>
        <w:sdtContent>
          <w:r w:rsidRPr="00A710A5">
            <w:rPr>
              <w:sz w:val="24"/>
              <w:szCs w:val="24"/>
            </w:rPr>
            <w:fldChar w:fldCharType="begin"/>
          </w:r>
          <w:r w:rsidRPr="00270129">
            <w:rPr>
              <w:sz w:val="24"/>
              <w:szCs w:val="24"/>
              <w:lang w:val="de-AT"/>
            </w:rPr>
            <w:instrText xml:space="preserve"> CITATION Zei23 \l 2057 </w:instrText>
          </w:r>
          <w:r w:rsidRPr="00A710A5">
            <w:rPr>
              <w:sz w:val="24"/>
              <w:szCs w:val="24"/>
            </w:rPr>
            <w:fldChar w:fldCharType="separate"/>
          </w:r>
          <w:r>
            <w:rPr>
              <w:noProof/>
              <w:sz w:val="24"/>
              <w:szCs w:val="24"/>
              <w:lang w:val="de-AT"/>
            </w:rPr>
            <w:t xml:space="preserve"> </w:t>
          </w:r>
          <w:r w:rsidRPr="001E71B4">
            <w:rPr>
              <w:noProof/>
              <w:sz w:val="24"/>
              <w:szCs w:val="24"/>
              <w:lang w:val="de-AT"/>
            </w:rPr>
            <w:t>[7]</w:t>
          </w:r>
          <w:r w:rsidRPr="00A710A5">
            <w:rPr>
              <w:sz w:val="24"/>
              <w:szCs w:val="24"/>
            </w:rPr>
            <w:fldChar w:fldCharType="end"/>
          </w:r>
        </w:sdtContent>
      </w:sdt>
    </w:p>
    <w:p w14:paraId="31E9D58E" w14:textId="77777777" w:rsidR="00100106" w:rsidRPr="00F142C7" w:rsidRDefault="00100106" w:rsidP="00100106">
      <w:pPr>
        <w:pStyle w:val="Heading3"/>
        <w:rPr>
          <w:rFonts w:ascii="Baguet Script" w:hAnsi="Baguet Script"/>
        </w:rPr>
      </w:pPr>
      <w:bookmarkStart w:id="13" w:name="_Toc165488529"/>
      <w:r w:rsidRPr="00F142C7">
        <w:rPr>
          <w:rFonts w:ascii="Baguet Script" w:hAnsi="Baguet Script"/>
        </w:rPr>
        <w:t>Begr</w:t>
      </w:r>
      <w:r w:rsidRPr="00F142C7">
        <w:rPr>
          <w:rFonts w:ascii="Baguet Script" w:hAnsi="Baguet Script" w:cs="Cambria"/>
        </w:rPr>
        <w:t>ü</w:t>
      </w:r>
      <w:r w:rsidRPr="00F142C7">
        <w:rPr>
          <w:rFonts w:ascii="Baguet Script" w:hAnsi="Baguet Script"/>
        </w:rPr>
        <w:t>ndung f</w:t>
      </w:r>
      <w:r w:rsidRPr="00F142C7">
        <w:rPr>
          <w:rFonts w:ascii="Baguet Script" w:hAnsi="Baguet Script" w:cs="Cambria"/>
        </w:rPr>
        <w:t>ü</w:t>
      </w:r>
      <w:r w:rsidRPr="00F142C7">
        <w:rPr>
          <w:rFonts w:ascii="Baguet Script" w:hAnsi="Baguet Script"/>
        </w:rPr>
        <w:t>r dieses Szenario</w:t>
      </w:r>
      <w:bookmarkEnd w:id="13"/>
    </w:p>
    <w:p w14:paraId="72B28798" w14:textId="77777777" w:rsidR="00100106" w:rsidRPr="00A710A5" w:rsidRDefault="00100106" w:rsidP="00100106">
      <w:pPr>
        <w:spacing w:line="360" w:lineRule="auto"/>
        <w:ind w:left="567" w:right="566"/>
        <w:rPr>
          <w:sz w:val="24"/>
          <w:szCs w:val="24"/>
        </w:rPr>
      </w:pPr>
      <w:r w:rsidRPr="00A710A5">
        <w:rPr>
          <w:sz w:val="24"/>
          <w:szCs w:val="24"/>
        </w:rPr>
        <w:t xml:space="preserve">Wir haben uns für dieses Szenario entschieden, da uns eine Liebesgeschichte zwischen einem Kolonialisten und einer Sklavin interessant vorkam. Während wir die Geschichte detaillierter austüftelten, mussten wir uns viele Fragen stellen, wie die Sklavin und der Kolonialist aufeinander reagieren. Verliebt sich die Sklavin tatsächlich in ihn? Oder tut sie nur so, um aus den Minen zu entkommen? Hat der Kolonialist eine Familie in Deutschland, die sehnsüchtig auf ihn wartet? </w:t>
      </w:r>
    </w:p>
    <w:p w14:paraId="4608B859" w14:textId="77777777" w:rsidR="00100106" w:rsidRPr="00A710A5" w:rsidRDefault="00100106" w:rsidP="00100106">
      <w:pPr>
        <w:spacing w:line="360" w:lineRule="auto"/>
        <w:ind w:left="567" w:right="566"/>
        <w:rPr>
          <w:sz w:val="24"/>
          <w:szCs w:val="24"/>
        </w:rPr>
      </w:pPr>
      <w:r w:rsidRPr="00A710A5">
        <w:rPr>
          <w:sz w:val="24"/>
          <w:szCs w:val="24"/>
        </w:rPr>
        <w:t xml:space="preserve">Wir haben uns dazu entschieden, den Spieler selbst entscheiden zu lassen, wie die Geschichte ablaufen soll. Zugegebenermaßen, die Entscheidungen sind oft nicht gleich für den Spieler eindeutig, inwiefern sie damit die Geschichte beeinflussen, doch dadurch kommt unserer Meinung nach auch ein gutes Gameplay zustande. </w:t>
      </w:r>
    </w:p>
    <w:p w14:paraId="1725D1D0" w14:textId="49A6947D" w:rsidR="00100106" w:rsidRPr="00100106" w:rsidRDefault="00100106" w:rsidP="00100106">
      <w:pPr>
        <w:spacing w:line="360" w:lineRule="auto"/>
        <w:ind w:left="567" w:right="566"/>
        <w:rPr>
          <w:sz w:val="24"/>
          <w:szCs w:val="24"/>
        </w:rPr>
      </w:pPr>
      <w:r w:rsidRPr="00A710A5">
        <w:rPr>
          <w:sz w:val="24"/>
          <w:szCs w:val="24"/>
        </w:rPr>
        <w:t xml:space="preserve">Außerdem haben wir uns für einen größeren Altersunterschied von 8 Jahren entschieden, damit die Liebesgeschichte brisanter wirkt. Wir wollten die Umstände, unter denen solch ein Szenario zu Stande kommt, </w:t>
      </w:r>
      <w:r w:rsidRPr="00A710A5">
        <w:rPr>
          <w:sz w:val="24"/>
          <w:szCs w:val="24"/>
        </w:rPr>
        <w:lastRenderedPageBreak/>
        <w:t>nicht verharmlosen und haben uns deshalb auch viele Enden ausgedacht, in denen die Geschichte schlecht ausgeht und / oder sie sich selbst nicht zu ernst nimmt</w:t>
      </w:r>
      <w:r w:rsidR="00F42A0C">
        <w:rPr>
          <w:sz w:val="24"/>
          <w:szCs w:val="24"/>
        </w:rPr>
        <w:t>, um sie ein bisschen aufzulockern</w:t>
      </w:r>
      <w:r w:rsidRPr="00A710A5">
        <w:rPr>
          <w:sz w:val="24"/>
          <w:szCs w:val="24"/>
        </w:rPr>
        <w:t xml:space="preserve">. </w:t>
      </w:r>
    </w:p>
    <w:p w14:paraId="072EBF0B" w14:textId="77777777" w:rsidR="00AC782C" w:rsidRDefault="00AC782C" w:rsidP="00AC782C">
      <w:pPr>
        <w:pStyle w:val="Heading2"/>
        <w:rPr>
          <w:rFonts w:asciiTheme="minorHAnsi" w:hAnsiTheme="minorHAnsi"/>
          <w:noProof/>
        </w:rPr>
      </w:pPr>
      <w:bookmarkStart w:id="14" w:name="_Toc165488530"/>
      <w:r w:rsidRPr="00D201D3">
        <w:t>Literaturverzeichnis</w:t>
      </w:r>
      <w:bookmarkEnd w:id="14"/>
      <w:r w:rsidRPr="00D201D3">
        <w:fldChar w:fldCharType="begin"/>
      </w:r>
      <w:r w:rsidRPr="00D201D3">
        <w:instrText xml:space="preserve"> BIBLIOGRAPHY  \l 2057 </w:instrText>
      </w:r>
      <w:r w:rsidRPr="00D201D3">
        <w:fldChar w:fldCharType="separate"/>
      </w:r>
    </w:p>
    <w:tbl>
      <w:tblPr>
        <w:tblW w:w="4641" w:type="pct"/>
        <w:tblCellSpacing w:w="15" w:type="dxa"/>
        <w:tblInd w:w="426" w:type="dxa"/>
        <w:tblLayout w:type="fixed"/>
        <w:tblCellMar>
          <w:top w:w="15" w:type="dxa"/>
          <w:left w:w="15" w:type="dxa"/>
          <w:bottom w:w="15" w:type="dxa"/>
          <w:right w:w="15" w:type="dxa"/>
        </w:tblCellMar>
        <w:tblLook w:val="04A0" w:firstRow="1" w:lastRow="0" w:firstColumn="1" w:lastColumn="0" w:noHBand="0" w:noVBand="1"/>
      </w:tblPr>
      <w:tblGrid>
        <w:gridCol w:w="567"/>
        <w:gridCol w:w="10484"/>
      </w:tblGrid>
      <w:tr w:rsidR="00AC782C" w14:paraId="429322A3" w14:textId="77777777" w:rsidTr="00AC782C">
        <w:trPr>
          <w:tblCellSpacing w:w="15" w:type="dxa"/>
        </w:trPr>
        <w:tc>
          <w:tcPr>
            <w:tcW w:w="236" w:type="pct"/>
            <w:hideMark/>
          </w:tcPr>
          <w:p w14:paraId="2763CE75" w14:textId="77777777" w:rsidR="00AC782C" w:rsidRDefault="00AC782C" w:rsidP="00F348B3">
            <w:pPr>
              <w:pStyle w:val="Bibliography"/>
              <w:rPr>
                <w:noProof/>
                <w:kern w:val="0"/>
                <w:sz w:val="24"/>
                <w:szCs w:val="24"/>
                <w:lang w:val="en-GB"/>
                <w14:ligatures w14:val="none"/>
              </w:rPr>
            </w:pPr>
            <w:r>
              <w:rPr>
                <w:noProof/>
                <w:lang w:val="en-GB"/>
              </w:rPr>
              <w:t xml:space="preserve">[1] </w:t>
            </w:r>
          </w:p>
        </w:tc>
        <w:tc>
          <w:tcPr>
            <w:tcW w:w="4723" w:type="pct"/>
            <w:hideMark/>
          </w:tcPr>
          <w:p w14:paraId="3AF42097" w14:textId="77777777" w:rsidR="00AC782C" w:rsidRDefault="00AC782C" w:rsidP="00F348B3">
            <w:pPr>
              <w:pStyle w:val="Bibliography"/>
              <w:rPr>
                <w:noProof/>
                <w:lang w:val="en-GB"/>
              </w:rPr>
            </w:pPr>
            <w:r w:rsidRPr="001E71B4">
              <w:rPr>
                <w:noProof/>
                <w:lang w:val="de-AT"/>
              </w:rPr>
              <w:t xml:space="preserve">R. b. -. k. u. knapp, “Namibia feiert seine Unabhängigkeit,” Bundeszentrale für politische Bildung, 20 März 2020. </w:t>
            </w:r>
            <w:r w:rsidRPr="006B2852">
              <w:rPr>
                <w:noProof/>
                <w:lang w:val="fr-FR"/>
              </w:rPr>
              <w:t xml:space="preserve">[Online]. Available: https://www.bpb.de/kurz-knapp/hintergrund-aktuell/203118/namibia-feiert-seine-unabhaengigkeit/. </w:t>
            </w:r>
            <w:r>
              <w:rPr>
                <w:noProof/>
                <w:lang w:val="en-GB"/>
              </w:rPr>
              <w:t>[Accessed 28 April 2024].</w:t>
            </w:r>
          </w:p>
        </w:tc>
      </w:tr>
      <w:tr w:rsidR="00AC782C" w14:paraId="46370692" w14:textId="77777777" w:rsidTr="00AC782C">
        <w:trPr>
          <w:tblCellSpacing w:w="15" w:type="dxa"/>
        </w:trPr>
        <w:tc>
          <w:tcPr>
            <w:tcW w:w="236" w:type="pct"/>
            <w:hideMark/>
          </w:tcPr>
          <w:p w14:paraId="21A4A2A1" w14:textId="77777777" w:rsidR="00AC782C" w:rsidRDefault="00AC782C" w:rsidP="00F348B3">
            <w:pPr>
              <w:pStyle w:val="Bibliography"/>
              <w:rPr>
                <w:noProof/>
                <w:lang w:val="en-GB"/>
              </w:rPr>
            </w:pPr>
            <w:r>
              <w:rPr>
                <w:noProof/>
                <w:lang w:val="en-GB"/>
              </w:rPr>
              <w:t xml:space="preserve">[2] </w:t>
            </w:r>
          </w:p>
        </w:tc>
        <w:tc>
          <w:tcPr>
            <w:tcW w:w="4723" w:type="pct"/>
            <w:hideMark/>
          </w:tcPr>
          <w:p w14:paraId="43FFC50B" w14:textId="77777777" w:rsidR="00AC782C" w:rsidRDefault="00AC782C" w:rsidP="00F348B3">
            <w:pPr>
              <w:pStyle w:val="Bibliography"/>
              <w:rPr>
                <w:noProof/>
                <w:lang w:val="en-GB"/>
              </w:rPr>
            </w:pPr>
            <w:r>
              <w:rPr>
                <w:noProof/>
                <w:lang w:val="en-GB"/>
              </w:rPr>
              <w:t xml:space="preserve">N. Dall, “Bondelswarts dying for their freedom,” Business Live - Financial Mail, 2 Juni 2022. </w:t>
            </w:r>
            <w:r w:rsidRPr="006B2852">
              <w:rPr>
                <w:noProof/>
                <w:lang w:val="fr-FR"/>
              </w:rPr>
              <w:t xml:space="preserve">[Online]. Available: https://www.businesslive.co.za/fm/features/2022-06-02-bondelswarts-dying-for-their-freedom/. </w:t>
            </w:r>
            <w:r>
              <w:rPr>
                <w:noProof/>
                <w:lang w:val="en-GB"/>
              </w:rPr>
              <w:t>[Accessed 28 April 2024].</w:t>
            </w:r>
          </w:p>
        </w:tc>
      </w:tr>
      <w:tr w:rsidR="00AC782C" w:rsidRPr="00626569" w14:paraId="5EF2D400" w14:textId="77777777" w:rsidTr="00AC782C">
        <w:trPr>
          <w:tblCellSpacing w:w="15" w:type="dxa"/>
        </w:trPr>
        <w:tc>
          <w:tcPr>
            <w:tcW w:w="236" w:type="pct"/>
            <w:hideMark/>
          </w:tcPr>
          <w:p w14:paraId="4803E522" w14:textId="77777777" w:rsidR="00AC782C" w:rsidRDefault="00AC782C" w:rsidP="00F348B3">
            <w:pPr>
              <w:pStyle w:val="Bibliography"/>
              <w:rPr>
                <w:noProof/>
                <w:lang w:val="en-GB"/>
              </w:rPr>
            </w:pPr>
            <w:r>
              <w:rPr>
                <w:noProof/>
                <w:lang w:val="en-GB"/>
              </w:rPr>
              <w:t xml:space="preserve">[3] </w:t>
            </w:r>
          </w:p>
        </w:tc>
        <w:tc>
          <w:tcPr>
            <w:tcW w:w="4723" w:type="pct"/>
            <w:hideMark/>
          </w:tcPr>
          <w:p w14:paraId="587A17E0" w14:textId="77777777" w:rsidR="00AC782C" w:rsidRDefault="00AC782C" w:rsidP="00F348B3">
            <w:pPr>
              <w:pStyle w:val="Bibliography"/>
              <w:rPr>
                <w:noProof/>
                <w:lang w:val="en-GB"/>
              </w:rPr>
            </w:pPr>
            <w:r>
              <w:rPr>
                <w:noProof/>
                <w:lang w:val="en-GB"/>
              </w:rPr>
              <w:t>D. Hackl, “Namibia under South Africa,” Namib Info, 1 Juli 2002. [Online]. Available: https://www.namib.info/namibia/uk/history/namibia_under_south_africa/index.php. [Accessed 28 April 2024].</w:t>
            </w:r>
          </w:p>
        </w:tc>
      </w:tr>
      <w:tr w:rsidR="00AC782C" w14:paraId="2DF4B7FC" w14:textId="77777777" w:rsidTr="00AC782C">
        <w:trPr>
          <w:tblCellSpacing w:w="15" w:type="dxa"/>
        </w:trPr>
        <w:tc>
          <w:tcPr>
            <w:tcW w:w="236" w:type="pct"/>
            <w:hideMark/>
          </w:tcPr>
          <w:p w14:paraId="24BBE5DC" w14:textId="77777777" w:rsidR="00AC782C" w:rsidRDefault="00AC782C" w:rsidP="00F348B3">
            <w:pPr>
              <w:pStyle w:val="Bibliography"/>
              <w:rPr>
                <w:noProof/>
                <w:lang w:val="en-GB"/>
              </w:rPr>
            </w:pPr>
            <w:r>
              <w:rPr>
                <w:noProof/>
                <w:lang w:val="en-GB"/>
              </w:rPr>
              <w:t xml:space="preserve">[4] </w:t>
            </w:r>
          </w:p>
        </w:tc>
        <w:tc>
          <w:tcPr>
            <w:tcW w:w="4723" w:type="pct"/>
            <w:hideMark/>
          </w:tcPr>
          <w:p w14:paraId="576DE4F0" w14:textId="77777777" w:rsidR="00AC782C" w:rsidRDefault="00AC782C" w:rsidP="00F348B3">
            <w:pPr>
              <w:pStyle w:val="Bibliography"/>
              <w:rPr>
                <w:noProof/>
                <w:lang w:val="en-GB"/>
              </w:rPr>
            </w:pPr>
            <w:r w:rsidRPr="001E71B4">
              <w:rPr>
                <w:noProof/>
                <w:lang w:val="de-AT"/>
              </w:rPr>
              <w:t xml:space="preserve">G. S. /. C. Toyka-Seid, “Apartheid,” Bundeszentrale für politische Bildung - kurz und knapp, 15 Februar 2022. </w:t>
            </w:r>
            <w:r w:rsidRPr="006B2852">
              <w:rPr>
                <w:noProof/>
                <w:lang w:val="fr-FR"/>
              </w:rPr>
              <w:t xml:space="preserve">[Online]. Available: https://www.bpb.de/kurz-knapp/lexika/das-junge-politik-lexikon/319831/apartheid/. </w:t>
            </w:r>
            <w:r>
              <w:rPr>
                <w:noProof/>
                <w:lang w:val="en-GB"/>
              </w:rPr>
              <w:t>[Accessed 28 April 2024].</w:t>
            </w:r>
          </w:p>
        </w:tc>
      </w:tr>
      <w:tr w:rsidR="00AC782C" w:rsidRPr="00626569" w14:paraId="78123009" w14:textId="77777777" w:rsidTr="00AC782C">
        <w:trPr>
          <w:tblCellSpacing w:w="15" w:type="dxa"/>
        </w:trPr>
        <w:tc>
          <w:tcPr>
            <w:tcW w:w="236" w:type="pct"/>
            <w:hideMark/>
          </w:tcPr>
          <w:p w14:paraId="20430E7F" w14:textId="77777777" w:rsidR="00AC782C" w:rsidRDefault="00AC782C" w:rsidP="00F348B3">
            <w:pPr>
              <w:pStyle w:val="Bibliography"/>
              <w:rPr>
                <w:noProof/>
                <w:lang w:val="en-GB"/>
              </w:rPr>
            </w:pPr>
            <w:r>
              <w:rPr>
                <w:noProof/>
                <w:lang w:val="en-GB"/>
              </w:rPr>
              <w:t xml:space="preserve">[5] </w:t>
            </w:r>
          </w:p>
        </w:tc>
        <w:tc>
          <w:tcPr>
            <w:tcW w:w="4723" w:type="pct"/>
            <w:hideMark/>
          </w:tcPr>
          <w:p w14:paraId="478FF0B5" w14:textId="77777777" w:rsidR="00AC782C" w:rsidRDefault="00AC782C" w:rsidP="00F348B3">
            <w:pPr>
              <w:pStyle w:val="Bibliography"/>
              <w:rPr>
                <w:noProof/>
                <w:lang w:val="en-GB"/>
              </w:rPr>
            </w:pPr>
            <w:r w:rsidRPr="001E71B4">
              <w:rPr>
                <w:noProof/>
                <w:lang w:val="de-AT"/>
              </w:rPr>
              <w:t xml:space="preserve">W. W. d. d. d. a. e. k. b. Christiane Habermalz, “Versöhnungsabkommen mit Namibia - Deutschland erkennt Kolonialverbrechen als Genozid an,” Deutschlandfunk, 21 September 2021. </w:t>
            </w:r>
            <w:r>
              <w:rPr>
                <w:noProof/>
                <w:lang w:val="en-GB"/>
              </w:rPr>
              <w:t>[Online]. Available: https://www.deutschlandfunk.de/versoehnungsabkommen-mit-namibia-deutschland-erkennt-100.html. [Accessed 28 April 2024].</w:t>
            </w:r>
          </w:p>
        </w:tc>
      </w:tr>
      <w:tr w:rsidR="00AC782C" w14:paraId="62F1BD14" w14:textId="77777777" w:rsidTr="00AC782C">
        <w:trPr>
          <w:tblCellSpacing w:w="15" w:type="dxa"/>
        </w:trPr>
        <w:tc>
          <w:tcPr>
            <w:tcW w:w="236" w:type="pct"/>
            <w:hideMark/>
          </w:tcPr>
          <w:p w14:paraId="6CC9B2C4" w14:textId="77777777" w:rsidR="00AC782C" w:rsidRDefault="00AC782C" w:rsidP="00F348B3">
            <w:pPr>
              <w:pStyle w:val="Bibliography"/>
              <w:rPr>
                <w:noProof/>
              </w:rPr>
            </w:pPr>
            <w:r>
              <w:rPr>
                <w:noProof/>
              </w:rPr>
              <w:t xml:space="preserve">[6] </w:t>
            </w:r>
          </w:p>
        </w:tc>
        <w:tc>
          <w:tcPr>
            <w:tcW w:w="4723" w:type="pct"/>
            <w:hideMark/>
          </w:tcPr>
          <w:p w14:paraId="10DBFFD1" w14:textId="77777777" w:rsidR="00AC782C" w:rsidRDefault="00AC782C" w:rsidP="00F348B3">
            <w:pPr>
              <w:pStyle w:val="Bibliography"/>
              <w:rPr>
                <w:noProof/>
              </w:rPr>
            </w:pPr>
            <w:r>
              <w:rPr>
                <w:noProof/>
              </w:rPr>
              <w:t xml:space="preserve">K. Maderhoner, „Seemannssonntag an Bord. Wer macht's?,“ Bundeswehr, 16 Januar 2024. </w:t>
            </w:r>
            <w:r w:rsidRPr="00626569">
              <w:rPr>
                <w:noProof/>
                <w:lang w:val="de-AT"/>
              </w:rPr>
              <w:t xml:space="preserve">[Online]. </w:t>
            </w:r>
            <w:r w:rsidRPr="006B2852">
              <w:rPr>
                <w:noProof/>
                <w:lang w:val="fr-FR"/>
              </w:rPr>
              <w:t xml:space="preserve">Available: https://www.bundeswehr.de/de/organisation/streitkraeftebasis/aktuelles/seemannssonntag-an-bord-wer-machts-5726746. </w:t>
            </w:r>
            <w:r>
              <w:rPr>
                <w:noProof/>
              </w:rPr>
              <w:t>[Zugriff am 28 April 2024].</w:t>
            </w:r>
          </w:p>
        </w:tc>
      </w:tr>
      <w:tr w:rsidR="00AC782C" w14:paraId="3FA175A7" w14:textId="77777777" w:rsidTr="00AC782C">
        <w:trPr>
          <w:tblCellSpacing w:w="15" w:type="dxa"/>
        </w:trPr>
        <w:tc>
          <w:tcPr>
            <w:tcW w:w="236" w:type="pct"/>
            <w:hideMark/>
          </w:tcPr>
          <w:p w14:paraId="6EEFA565" w14:textId="77777777" w:rsidR="00AC782C" w:rsidRDefault="00AC782C" w:rsidP="00F348B3">
            <w:pPr>
              <w:pStyle w:val="Bibliography"/>
              <w:rPr>
                <w:noProof/>
                <w:lang w:val="en-GB"/>
              </w:rPr>
            </w:pPr>
            <w:r>
              <w:rPr>
                <w:noProof/>
                <w:lang w:val="en-GB"/>
              </w:rPr>
              <w:t xml:space="preserve">[7] </w:t>
            </w:r>
          </w:p>
        </w:tc>
        <w:tc>
          <w:tcPr>
            <w:tcW w:w="4723" w:type="pct"/>
            <w:hideMark/>
          </w:tcPr>
          <w:p w14:paraId="7AA8FA91" w14:textId="77777777" w:rsidR="00AC782C" w:rsidRDefault="00AC782C" w:rsidP="00F348B3">
            <w:pPr>
              <w:pStyle w:val="Bibliography"/>
              <w:rPr>
                <w:noProof/>
                <w:lang w:val="en-GB"/>
              </w:rPr>
            </w:pPr>
            <w:r w:rsidRPr="001E71B4">
              <w:rPr>
                <w:noProof/>
                <w:lang w:val="de-AT"/>
              </w:rPr>
              <w:t xml:space="preserve">Zeitklicks, “Deutsch-Südwestafrika und die Gier nach Diamanten,” Zeitklicks, 21 September 2023. </w:t>
            </w:r>
            <w:r w:rsidRPr="006B2852">
              <w:rPr>
                <w:noProof/>
                <w:lang w:val="fr-FR"/>
              </w:rPr>
              <w:t xml:space="preserve">[Online]. Available: https://www.zeitklicks.de/kaiserzeit/politik/kolonialpolitik/deutsch-suedwestafrika-und-die-gier-nach-diamanten. </w:t>
            </w:r>
            <w:r>
              <w:rPr>
                <w:noProof/>
                <w:lang w:val="en-GB"/>
              </w:rPr>
              <w:t>[Accessed 28 April 2024].</w:t>
            </w:r>
          </w:p>
        </w:tc>
      </w:tr>
      <w:tr w:rsidR="00AC782C" w:rsidRPr="0018136C" w14:paraId="63B50F07" w14:textId="77777777" w:rsidTr="00AC782C">
        <w:trPr>
          <w:tblCellSpacing w:w="15" w:type="dxa"/>
        </w:trPr>
        <w:tc>
          <w:tcPr>
            <w:tcW w:w="236" w:type="pct"/>
            <w:hideMark/>
          </w:tcPr>
          <w:p w14:paraId="302B4D94" w14:textId="77777777" w:rsidR="00AC782C" w:rsidRDefault="00AC782C" w:rsidP="00F348B3">
            <w:pPr>
              <w:pStyle w:val="Bibliography"/>
              <w:rPr>
                <w:noProof/>
                <w:lang w:val="en-GB"/>
              </w:rPr>
            </w:pPr>
            <w:r>
              <w:rPr>
                <w:noProof/>
                <w:lang w:val="en-GB"/>
              </w:rPr>
              <w:t xml:space="preserve">[8] </w:t>
            </w:r>
          </w:p>
        </w:tc>
        <w:tc>
          <w:tcPr>
            <w:tcW w:w="4723" w:type="pct"/>
            <w:hideMark/>
          </w:tcPr>
          <w:p w14:paraId="084BEC4E" w14:textId="77777777" w:rsidR="00AC782C" w:rsidRPr="00626569" w:rsidRDefault="00AC782C" w:rsidP="00F348B3">
            <w:pPr>
              <w:pStyle w:val="Bibliography"/>
              <w:rPr>
                <w:noProof/>
                <w:lang w:val="de-AT"/>
              </w:rPr>
            </w:pPr>
            <w:r w:rsidRPr="001E71B4">
              <w:rPr>
                <w:noProof/>
                <w:lang w:val="de-AT"/>
              </w:rPr>
              <w:t xml:space="preserve">“Bundesarchiev.de,” Kirsten Mieves, - - 2023. [Online]. </w:t>
            </w:r>
            <w:r w:rsidRPr="00626569">
              <w:rPr>
                <w:noProof/>
                <w:lang w:val="de-AT"/>
              </w:rPr>
              <w:t>Available: https://www.bundesarchiv.de/DE/Content/Virtuelle-Ausstellungen/Der-Krieg-Gegen-Die-Herero-1904/der-krieg-gegen-die-herero-1904.html. [Accessed 28 04 2024].</w:t>
            </w:r>
          </w:p>
        </w:tc>
      </w:tr>
      <w:tr w:rsidR="00AC782C" w14:paraId="5F3B2D3E" w14:textId="77777777" w:rsidTr="00AC782C">
        <w:trPr>
          <w:tblCellSpacing w:w="15" w:type="dxa"/>
        </w:trPr>
        <w:tc>
          <w:tcPr>
            <w:tcW w:w="236" w:type="pct"/>
            <w:hideMark/>
          </w:tcPr>
          <w:p w14:paraId="340E5D34" w14:textId="77777777" w:rsidR="00AC782C" w:rsidRDefault="00AC782C" w:rsidP="00F348B3">
            <w:pPr>
              <w:pStyle w:val="Bibliography"/>
              <w:rPr>
                <w:noProof/>
                <w:lang w:val="en-GB"/>
              </w:rPr>
            </w:pPr>
            <w:r>
              <w:rPr>
                <w:noProof/>
                <w:lang w:val="en-GB"/>
              </w:rPr>
              <w:t xml:space="preserve">[9] </w:t>
            </w:r>
          </w:p>
        </w:tc>
        <w:tc>
          <w:tcPr>
            <w:tcW w:w="4723" w:type="pct"/>
            <w:hideMark/>
          </w:tcPr>
          <w:p w14:paraId="261A6FAE" w14:textId="77777777" w:rsidR="00AC782C" w:rsidRDefault="00AC782C" w:rsidP="00F348B3">
            <w:pPr>
              <w:pStyle w:val="Bibliography"/>
              <w:rPr>
                <w:noProof/>
                <w:lang w:val="en-GB"/>
              </w:rPr>
            </w:pPr>
            <w:r w:rsidRPr="001E71B4">
              <w:rPr>
                <w:noProof/>
                <w:lang w:val="de-AT"/>
              </w:rPr>
              <w:t xml:space="preserve">b. Redaktion, “Januar 1904: Herero-Aufstand in Deutsch-Südwestafrika,” bpb, 10 01 2014. </w:t>
            </w:r>
            <w:r w:rsidRPr="006B2852">
              <w:rPr>
                <w:noProof/>
                <w:lang w:val="fr-FR"/>
              </w:rPr>
              <w:t xml:space="preserve">[Online]. Available: https://www.bpb.de/kurz-knapp/hintergrund-aktuell/176142/januar-1904-herero-aufstand-in-deutsch-suedwestafrika/#:~:text=Vor%20110%20Jahren%20lehnte%20sich,fielen%20dem%20Vernichtungsfeldzug%20zum%20Opfer.. </w:t>
            </w:r>
            <w:r>
              <w:rPr>
                <w:noProof/>
                <w:lang w:val="en-GB"/>
              </w:rPr>
              <w:t>[Accessed 28 04 2024].</w:t>
            </w:r>
          </w:p>
        </w:tc>
      </w:tr>
      <w:tr w:rsidR="00AC782C" w14:paraId="2744011D" w14:textId="77777777" w:rsidTr="00AC782C">
        <w:trPr>
          <w:tblCellSpacing w:w="15" w:type="dxa"/>
        </w:trPr>
        <w:tc>
          <w:tcPr>
            <w:tcW w:w="236" w:type="pct"/>
            <w:hideMark/>
          </w:tcPr>
          <w:p w14:paraId="7C4384DA" w14:textId="77777777" w:rsidR="00AC782C" w:rsidRDefault="00AC782C" w:rsidP="00F348B3">
            <w:pPr>
              <w:pStyle w:val="Bibliography"/>
              <w:rPr>
                <w:noProof/>
                <w:lang w:val="en-GB"/>
              </w:rPr>
            </w:pPr>
            <w:r>
              <w:rPr>
                <w:noProof/>
                <w:lang w:val="en-GB"/>
              </w:rPr>
              <w:t xml:space="preserve">[10] </w:t>
            </w:r>
          </w:p>
        </w:tc>
        <w:tc>
          <w:tcPr>
            <w:tcW w:w="4723" w:type="pct"/>
            <w:hideMark/>
          </w:tcPr>
          <w:p w14:paraId="454C9D86" w14:textId="77777777" w:rsidR="00AC782C" w:rsidRDefault="00AC782C" w:rsidP="00F348B3">
            <w:pPr>
              <w:pStyle w:val="Bibliography"/>
              <w:rPr>
                <w:noProof/>
                <w:lang w:val="en-GB"/>
              </w:rPr>
            </w:pPr>
            <w:r w:rsidRPr="001E71B4">
              <w:rPr>
                <w:noProof/>
                <w:lang w:val="de-AT"/>
              </w:rPr>
              <w:t xml:space="preserve">J. Zimmerer, “Expansion und Herrschaft: Geschichte des europäischen und deutschen Kolonialismus,” bpb, 23 10 2012. </w:t>
            </w:r>
            <w:r w:rsidRPr="006B2852">
              <w:rPr>
                <w:noProof/>
                <w:lang w:val="fr-FR"/>
              </w:rPr>
              <w:t xml:space="preserve">[Online]. Available: https://www.bpb.de/shop/zeitschriften/apuz/146973/expansion-und-herrschaft-geschichte-des-europaeischen-und-deutschen-kolonialismus/#page-2 . </w:t>
            </w:r>
            <w:r>
              <w:rPr>
                <w:noProof/>
                <w:lang w:val="en-GB"/>
              </w:rPr>
              <w:t>[Accessed 28 04 2024].</w:t>
            </w:r>
          </w:p>
        </w:tc>
      </w:tr>
      <w:tr w:rsidR="00AC782C" w14:paraId="18A8133B" w14:textId="77777777" w:rsidTr="00AC782C">
        <w:trPr>
          <w:tblCellSpacing w:w="15" w:type="dxa"/>
        </w:trPr>
        <w:tc>
          <w:tcPr>
            <w:tcW w:w="236" w:type="pct"/>
            <w:hideMark/>
          </w:tcPr>
          <w:p w14:paraId="76EB6A6E" w14:textId="77777777" w:rsidR="00AC782C" w:rsidRDefault="00AC782C" w:rsidP="00F348B3">
            <w:pPr>
              <w:pStyle w:val="Bibliography"/>
              <w:rPr>
                <w:noProof/>
                <w:lang w:val="en-GB"/>
              </w:rPr>
            </w:pPr>
            <w:r>
              <w:rPr>
                <w:noProof/>
                <w:lang w:val="en-GB"/>
              </w:rPr>
              <w:t xml:space="preserve">[11] </w:t>
            </w:r>
          </w:p>
        </w:tc>
        <w:tc>
          <w:tcPr>
            <w:tcW w:w="4723" w:type="pct"/>
            <w:hideMark/>
          </w:tcPr>
          <w:p w14:paraId="405F074E" w14:textId="77777777" w:rsidR="00AC782C" w:rsidRDefault="00AC782C" w:rsidP="00F348B3">
            <w:pPr>
              <w:pStyle w:val="Bibliography"/>
              <w:rPr>
                <w:noProof/>
                <w:lang w:val="en-GB"/>
              </w:rPr>
            </w:pPr>
            <w:r w:rsidRPr="001E71B4">
              <w:rPr>
                <w:noProof/>
                <w:lang w:val="de-AT"/>
              </w:rPr>
              <w:t xml:space="preserve">-, “Südafrikanisches Mandatsgebiet - Apartheid um 1975,” diercke, - - -. </w:t>
            </w:r>
            <w:r w:rsidRPr="006B2852">
              <w:rPr>
                <w:noProof/>
                <w:lang w:val="fr-FR"/>
              </w:rPr>
              <w:t xml:space="preserve">[Online]. Available: https://diercke.de/content/s%C3%BCdafrikanisches-mandatsgebiet-apartheid-um-1975-978-3-14-100870-8-184-5-1. </w:t>
            </w:r>
            <w:r>
              <w:rPr>
                <w:noProof/>
                <w:lang w:val="en-GB"/>
              </w:rPr>
              <w:t>[Accessed 28 04 2024].</w:t>
            </w:r>
          </w:p>
        </w:tc>
      </w:tr>
      <w:tr w:rsidR="00AC782C" w14:paraId="5C57A835" w14:textId="77777777" w:rsidTr="00AC782C">
        <w:trPr>
          <w:tblCellSpacing w:w="15" w:type="dxa"/>
        </w:trPr>
        <w:tc>
          <w:tcPr>
            <w:tcW w:w="236" w:type="pct"/>
            <w:hideMark/>
          </w:tcPr>
          <w:p w14:paraId="02F67463" w14:textId="77777777" w:rsidR="00AC782C" w:rsidRDefault="00AC782C" w:rsidP="00F348B3">
            <w:pPr>
              <w:pStyle w:val="Bibliography"/>
              <w:rPr>
                <w:noProof/>
                <w:lang w:val="en-GB"/>
              </w:rPr>
            </w:pPr>
            <w:r>
              <w:rPr>
                <w:noProof/>
                <w:lang w:val="en-GB"/>
              </w:rPr>
              <w:t xml:space="preserve">[12] </w:t>
            </w:r>
          </w:p>
        </w:tc>
        <w:tc>
          <w:tcPr>
            <w:tcW w:w="4723" w:type="pct"/>
            <w:hideMark/>
          </w:tcPr>
          <w:p w14:paraId="43DBA50C" w14:textId="77777777" w:rsidR="00AC782C" w:rsidRDefault="00AC782C" w:rsidP="00F348B3">
            <w:pPr>
              <w:pStyle w:val="Bibliography"/>
              <w:rPr>
                <w:noProof/>
                <w:lang w:val="en-GB"/>
              </w:rPr>
            </w:pPr>
            <w:r>
              <w:rPr>
                <w:noProof/>
                <w:lang w:val="en-GB"/>
              </w:rPr>
              <w:t>-, whywar, - 01 2018. [Online]. Available: https://www.whywar.at/ursachen/kulurell-religioese-aspekte/kultur-und-krieg/dominanzverhaeltnisse/rassismus-in-namibia/. [Accessed 28 04 2024].</w:t>
            </w:r>
          </w:p>
        </w:tc>
      </w:tr>
      <w:tr w:rsidR="00AC782C" w14:paraId="4028220F" w14:textId="77777777" w:rsidTr="00AC782C">
        <w:trPr>
          <w:tblCellSpacing w:w="15" w:type="dxa"/>
        </w:trPr>
        <w:tc>
          <w:tcPr>
            <w:tcW w:w="236" w:type="pct"/>
            <w:hideMark/>
          </w:tcPr>
          <w:p w14:paraId="29DCEAD9" w14:textId="77777777" w:rsidR="00AC782C" w:rsidRDefault="00AC782C" w:rsidP="00F348B3">
            <w:pPr>
              <w:pStyle w:val="Bibliography"/>
              <w:rPr>
                <w:noProof/>
                <w:lang w:val="en-GB"/>
              </w:rPr>
            </w:pPr>
            <w:r>
              <w:rPr>
                <w:noProof/>
                <w:lang w:val="en-GB"/>
              </w:rPr>
              <w:t xml:space="preserve">[13] </w:t>
            </w:r>
          </w:p>
        </w:tc>
        <w:tc>
          <w:tcPr>
            <w:tcW w:w="4723" w:type="pct"/>
            <w:hideMark/>
          </w:tcPr>
          <w:p w14:paraId="1B2A4866" w14:textId="77777777" w:rsidR="00AC782C" w:rsidRDefault="00AC782C" w:rsidP="00F348B3">
            <w:pPr>
              <w:pStyle w:val="Bibliography"/>
              <w:rPr>
                <w:noProof/>
                <w:lang w:val="en-GB"/>
              </w:rPr>
            </w:pPr>
            <w:r w:rsidRPr="001E71B4">
              <w:rPr>
                <w:noProof/>
                <w:lang w:val="de-AT"/>
              </w:rPr>
              <w:t xml:space="preserve">D. Welle, “Die deutsche Kolonialgeschichte in Namibia,” Deutsche Welle, 21 09 2021. </w:t>
            </w:r>
            <w:r w:rsidRPr="006B2852">
              <w:rPr>
                <w:noProof/>
                <w:lang w:val="fr-FR"/>
              </w:rPr>
              <w:t xml:space="preserve">[Online]. Available: https://www.dw.com/de/chronologie-deutschland-namibia-kolonie-geschichte/a-57763153. </w:t>
            </w:r>
            <w:r>
              <w:rPr>
                <w:noProof/>
                <w:lang w:val="en-GB"/>
              </w:rPr>
              <w:t>[Accessed 28 04 2024].</w:t>
            </w:r>
          </w:p>
        </w:tc>
      </w:tr>
      <w:tr w:rsidR="00AC782C" w14:paraId="02C1DB92" w14:textId="77777777" w:rsidTr="00AC782C">
        <w:trPr>
          <w:tblCellSpacing w:w="15" w:type="dxa"/>
        </w:trPr>
        <w:tc>
          <w:tcPr>
            <w:tcW w:w="236" w:type="pct"/>
            <w:hideMark/>
          </w:tcPr>
          <w:p w14:paraId="5EAF6B58" w14:textId="77777777" w:rsidR="00AC782C" w:rsidRDefault="00AC782C" w:rsidP="00F348B3">
            <w:pPr>
              <w:pStyle w:val="Bibliography"/>
              <w:rPr>
                <w:noProof/>
                <w:lang w:val="en-GB"/>
              </w:rPr>
            </w:pPr>
            <w:r>
              <w:rPr>
                <w:noProof/>
                <w:lang w:val="en-GB"/>
              </w:rPr>
              <w:lastRenderedPageBreak/>
              <w:t xml:space="preserve">[14] </w:t>
            </w:r>
          </w:p>
        </w:tc>
        <w:tc>
          <w:tcPr>
            <w:tcW w:w="4723" w:type="pct"/>
            <w:hideMark/>
          </w:tcPr>
          <w:p w14:paraId="0AB5FD44" w14:textId="77777777" w:rsidR="00AC782C" w:rsidRDefault="00AC782C" w:rsidP="00F348B3">
            <w:pPr>
              <w:pStyle w:val="Bibliography"/>
              <w:rPr>
                <w:noProof/>
                <w:lang w:val="en-GB"/>
              </w:rPr>
            </w:pPr>
            <w:r w:rsidRPr="001E71B4">
              <w:rPr>
                <w:noProof/>
                <w:lang w:val="de-AT"/>
              </w:rPr>
              <w:t xml:space="preserve">Deutschlandfunk, “Deutschland erkennt Kolonialverbrechen als Genozid an,” Deutschlandfunk, 21 09 2021. </w:t>
            </w:r>
            <w:r w:rsidRPr="006B2852">
              <w:rPr>
                <w:noProof/>
                <w:lang w:val="fr-FR"/>
              </w:rPr>
              <w:t xml:space="preserve">[Online]. Available: https://www.deutschlandfunk.de/versoehnungsabkommen-mit-namibia-deutschland-erkennt-100.html#:~:text=Das%20Deutsche%20Reich%20war%20von,Volksgruppen%3A%20der%20Herero%20und%20Nama.. </w:t>
            </w:r>
            <w:r>
              <w:rPr>
                <w:noProof/>
                <w:lang w:val="en-GB"/>
              </w:rPr>
              <w:t>[Accessed 28 04 2024].</w:t>
            </w:r>
          </w:p>
        </w:tc>
      </w:tr>
      <w:tr w:rsidR="00AC782C" w14:paraId="0A686B70" w14:textId="77777777" w:rsidTr="00AC782C">
        <w:trPr>
          <w:tblCellSpacing w:w="15" w:type="dxa"/>
        </w:trPr>
        <w:tc>
          <w:tcPr>
            <w:tcW w:w="236" w:type="pct"/>
            <w:hideMark/>
          </w:tcPr>
          <w:p w14:paraId="6211168D" w14:textId="77777777" w:rsidR="00AC782C" w:rsidRDefault="00AC782C" w:rsidP="00F348B3">
            <w:pPr>
              <w:pStyle w:val="Bibliography"/>
              <w:rPr>
                <w:noProof/>
                <w:lang w:val="en-GB"/>
              </w:rPr>
            </w:pPr>
            <w:r>
              <w:rPr>
                <w:noProof/>
                <w:lang w:val="en-GB"/>
              </w:rPr>
              <w:t xml:space="preserve">[15] </w:t>
            </w:r>
          </w:p>
        </w:tc>
        <w:tc>
          <w:tcPr>
            <w:tcW w:w="4723" w:type="pct"/>
            <w:hideMark/>
          </w:tcPr>
          <w:p w14:paraId="449B0700" w14:textId="77777777" w:rsidR="00AC782C" w:rsidRDefault="00AC782C" w:rsidP="00F348B3">
            <w:pPr>
              <w:pStyle w:val="Bibliography"/>
              <w:rPr>
                <w:noProof/>
                <w:lang w:val="en-GB"/>
              </w:rPr>
            </w:pPr>
            <w:r w:rsidRPr="001E71B4">
              <w:rPr>
                <w:noProof/>
                <w:lang w:val="de-AT"/>
              </w:rPr>
              <w:t xml:space="preserve">D. Welle, “Tagebuch bezeugt Völkermord in Afrika,” Deutsche Welle, 23 09 2013. </w:t>
            </w:r>
            <w:r w:rsidRPr="006B2852">
              <w:rPr>
                <w:noProof/>
                <w:lang w:val="fr-FR"/>
              </w:rPr>
              <w:t xml:space="preserve">[Online]. Available: https://www.dw.com/de/tagebuch-bezeugt-v%C3%B6lkermord-in-afrika/a-17061129. </w:t>
            </w:r>
            <w:r>
              <w:rPr>
                <w:noProof/>
                <w:lang w:val="en-GB"/>
              </w:rPr>
              <w:t>[Accessed 28 04 2024].</w:t>
            </w:r>
          </w:p>
        </w:tc>
      </w:tr>
      <w:tr w:rsidR="00AC782C" w14:paraId="6C6FBDA4" w14:textId="77777777" w:rsidTr="00AC782C">
        <w:trPr>
          <w:tblCellSpacing w:w="15" w:type="dxa"/>
        </w:trPr>
        <w:tc>
          <w:tcPr>
            <w:tcW w:w="236" w:type="pct"/>
            <w:hideMark/>
          </w:tcPr>
          <w:p w14:paraId="62EE5265" w14:textId="77777777" w:rsidR="00AC782C" w:rsidRDefault="00AC782C" w:rsidP="00F348B3">
            <w:pPr>
              <w:pStyle w:val="Bibliography"/>
              <w:rPr>
                <w:noProof/>
                <w:lang w:val="en-GB"/>
              </w:rPr>
            </w:pPr>
            <w:r>
              <w:rPr>
                <w:noProof/>
                <w:lang w:val="en-GB"/>
              </w:rPr>
              <w:t xml:space="preserve">[16] </w:t>
            </w:r>
          </w:p>
        </w:tc>
        <w:tc>
          <w:tcPr>
            <w:tcW w:w="4723" w:type="pct"/>
            <w:hideMark/>
          </w:tcPr>
          <w:p w14:paraId="6BDBDB0F" w14:textId="77777777" w:rsidR="00AC782C" w:rsidRDefault="00AC782C" w:rsidP="00F348B3">
            <w:pPr>
              <w:pStyle w:val="Bibliography"/>
              <w:rPr>
                <w:noProof/>
                <w:lang w:val="en-GB"/>
              </w:rPr>
            </w:pPr>
            <w:r w:rsidRPr="001E71B4">
              <w:rPr>
                <w:noProof/>
                <w:lang w:val="de-AT"/>
              </w:rPr>
              <w:t xml:space="preserve">B. f. w. Z. u. Entwicklung, “Partnerland mit historischer Beziehung,” Bundesministerium für wirtschaftliche Zusammenarbeit und Entwicklung, 27 05 2022. </w:t>
            </w:r>
            <w:r w:rsidRPr="006B2852">
              <w:rPr>
                <w:noProof/>
                <w:lang w:val="fr-FR"/>
              </w:rPr>
              <w:t xml:space="preserve">[Online]. Available: https://www.bmz.de/de/laender/namibia#:~:text=Viele%20der%20%C3%9Cberlebenden%20mussten%20Zwangsarbeit,Vers%C3%B6hnungsdialog%20zur%20Aufarbeitung%20der%20Gr%C3%A4ueltaten.. </w:t>
            </w:r>
            <w:r>
              <w:rPr>
                <w:noProof/>
                <w:lang w:val="en-GB"/>
              </w:rPr>
              <w:t>[Accessed 28 04 2024].</w:t>
            </w:r>
          </w:p>
        </w:tc>
      </w:tr>
      <w:tr w:rsidR="00AC782C" w14:paraId="08CB7EB5" w14:textId="77777777" w:rsidTr="00AC782C">
        <w:trPr>
          <w:tblCellSpacing w:w="15" w:type="dxa"/>
        </w:trPr>
        <w:tc>
          <w:tcPr>
            <w:tcW w:w="236" w:type="pct"/>
            <w:hideMark/>
          </w:tcPr>
          <w:p w14:paraId="15CB2BB3" w14:textId="77777777" w:rsidR="00AC782C" w:rsidRDefault="00AC782C" w:rsidP="00F348B3">
            <w:pPr>
              <w:pStyle w:val="Bibliography"/>
              <w:rPr>
                <w:noProof/>
                <w:lang w:val="en-GB"/>
              </w:rPr>
            </w:pPr>
            <w:r>
              <w:rPr>
                <w:noProof/>
                <w:lang w:val="en-GB"/>
              </w:rPr>
              <w:t xml:space="preserve">[17] </w:t>
            </w:r>
          </w:p>
        </w:tc>
        <w:tc>
          <w:tcPr>
            <w:tcW w:w="4723" w:type="pct"/>
            <w:hideMark/>
          </w:tcPr>
          <w:p w14:paraId="2E5833E4" w14:textId="77777777" w:rsidR="00AC782C" w:rsidRDefault="00AC782C" w:rsidP="00F348B3">
            <w:pPr>
              <w:pStyle w:val="Bibliography"/>
              <w:rPr>
                <w:noProof/>
                <w:lang w:val="en-GB"/>
              </w:rPr>
            </w:pPr>
            <w:r>
              <w:rPr>
                <w:noProof/>
                <w:lang w:val="en-GB"/>
              </w:rPr>
              <w:t xml:space="preserve">Y. S. Inanc, “Namibia: Story of massacred, silenced and impoverished people,” Daily Sabah, 24 07 2016. </w:t>
            </w:r>
            <w:r w:rsidRPr="006B2852">
              <w:rPr>
                <w:noProof/>
                <w:lang w:val="fr-FR"/>
              </w:rPr>
              <w:t xml:space="preserve">[Online]. Available: https://www.dailysabah.com/africa/2016/07/24/namibia-story-of-massacred-silenced-and-impoverished-people. </w:t>
            </w:r>
            <w:r>
              <w:rPr>
                <w:noProof/>
                <w:lang w:val="en-GB"/>
              </w:rPr>
              <w:t>[Accessed 30 04 2024].</w:t>
            </w:r>
          </w:p>
        </w:tc>
      </w:tr>
    </w:tbl>
    <w:p w14:paraId="01C8A72C" w14:textId="77777777" w:rsidR="00AC782C" w:rsidRDefault="00AC782C" w:rsidP="00AC782C">
      <w:pPr>
        <w:rPr>
          <w:rFonts w:eastAsia="Times New Roman"/>
          <w:noProof/>
        </w:rPr>
      </w:pPr>
    </w:p>
    <w:p w14:paraId="09C1E60E" w14:textId="3B2AD9C1" w:rsidR="00AC782C" w:rsidRPr="00D201D3" w:rsidRDefault="00AC782C" w:rsidP="00AC782C">
      <w:pPr>
        <w:tabs>
          <w:tab w:val="left" w:pos="4207"/>
        </w:tabs>
        <w:spacing w:line="360" w:lineRule="auto"/>
      </w:pPr>
      <w:r w:rsidRPr="00D201D3">
        <w:fldChar w:fldCharType="end"/>
      </w:r>
      <w:r>
        <w:tab/>
      </w:r>
    </w:p>
    <w:p w14:paraId="759615BF" w14:textId="77777777" w:rsidR="00516C60" w:rsidRPr="00266F21" w:rsidRDefault="00516C60" w:rsidP="00516C60"/>
    <w:sectPr w:rsidR="00516C60" w:rsidRPr="00266F21" w:rsidSect="00AE28ED">
      <w:headerReference w:type="default" r:id="rId9"/>
      <w:pgSz w:w="11906" w:h="16838"/>
      <w:pgMar w:top="27" w:right="0" w:bottom="0" w:left="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A761F" w14:textId="77777777" w:rsidR="00AE28ED" w:rsidRDefault="00AE28ED" w:rsidP="00266F21">
      <w:pPr>
        <w:spacing w:line="240" w:lineRule="auto"/>
      </w:pPr>
      <w:r>
        <w:separator/>
      </w:r>
    </w:p>
  </w:endnote>
  <w:endnote w:type="continuationSeparator" w:id="0">
    <w:p w14:paraId="0761853D" w14:textId="77777777" w:rsidR="00AE28ED" w:rsidRDefault="00AE28ED" w:rsidP="00266F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ashed Browns">
    <w:altName w:val="Calibri"/>
    <w:panose1 w:val="02000600000000000000"/>
    <w:charset w:val="00"/>
    <w:family w:val="auto"/>
    <w:pitch w:val="variable"/>
    <w:sig w:usb0="00000003" w:usb1="00000000" w:usb2="00000000" w:usb3="00000000" w:csb0="00000001" w:csb1="00000000"/>
  </w:font>
  <w:font w:name="Grestal Script DEMO">
    <w:altName w:val="Calibri"/>
    <w:panose1 w:val="00000000000000000000"/>
    <w:charset w:val="00"/>
    <w:family w:val="auto"/>
    <w:pitch w:val="variable"/>
    <w:sig w:usb0="00000003" w:usb1="00000000" w:usb2="00000000" w:usb3="00000000" w:csb0="00000001" w:csb1="00000000"/>
  </w:font>
  <w:font w:name="Chump Change">
    <w:altName w:val="Calibri"/>
    <w:panose1 w:val="020005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deleina Sans">
    <w:altName w:val="Calibri"/>
    <w:panose1 w:val="02000500000000000000"/>
    <w:charset w:val="00"/>
    <w:family w:val="auto"/>
    <w:pitch w:val="variable"/>
    <w:sig w:usb0="00000007" w:usb1="00000000" w:usb2="00000000" w:usb3="00000000" w:csb0="00000093" w:csb1="00000000"/>
  </w:font>
  <w:font w:name="Keep on Truckin'">
    <w:panose1 w:val="00000400000000000000"/>
    <w:charset w:val="00"/>
    <w:family w:val="auto"/>
    <w:pitch w:val="variable"/>
    <w:sig w:usb0="00000003" w:usb1="00000000" w:usb2="00000000" w:usb3="00000000" w:csb0="00000001" w:csb1="00000000"/>
  </w:font>
  <w:font w:name="Geliat ExtraLight">
    <w:altName w:val="Calibri"/>
    <w:panose1 w:val="000003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Baguet Script">
    <w:charset w:val="00"/>
    <w:family w:val="auto"/>
    <w:pitch w:val="variable"/>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8ED9D" w14:textId="77777777" w:rsidR="00AE28ED" w:rsidRDefault="00AE28ED" w:rsidP="00266F21">
      <w:pPr>
        <w:spacing w:line="240" w:lineRule="auto"/>
      </w:pPr>
      <w:r>
        <w:separator/>
      </w:r>
    </w:p>
  </w:footnote>
  <w:footnote w:type="continuationSeparator" w:id="0">
    <w:p w14:paraId="6F6870E0" w14:textId="77777777" w:rsidR="00AE28ED" w:rsidRDefault="00AE28ED" w:rsidP="00266F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D2AB6" w14:textId="409E8AA0" w:rsidR="00266F21" w:rsidRPr="00843AAD" w:rsidRDefault="00843AAD" w:rsidP="00843AAD">
    <w:pPr>
      <w:pStyle w:val="Heading5"/>
      <w:ind w:left="567" w:firstLine="0"/>
      <w:rPr>
        <w:color w:val="EC792C" w:themeColor="accent4" w:themeShade="BF"/>
        <w:u w:val="none"/>
      </w:rPr>
    </w:pPr>
    <w:r w:rsidRPr="001B1D4E">
      <w:rPr>
        <w:noProof/>
        <w:color w:val="FFC4D0"/>
        <w:sz w:val="28"/>
        <w:szCs w:val="28"/>
      </w:rPr>
      <mc:AlternateContent>
        <mc:Choice Requires="wps">
          <w:drawing>
            <wp:anchor distT="0" distB="0" distL="114300" distR="114300" simplePos="0" relativeHeight="251659264" behindDoc="0" locked="0" layoutInCell="1" allowOverlap="1" wp14:anchorId="7FE0C136" wp14:editId="0FEFCF7E">
              <wp:simplePos x="0" y="0"/>
              <wp:positionH relativeFrom="margin">
                <wp:posOffset>241300</wp:posOffset>
              </wp:positionH>
              <wp:positionV relativeFrom="margin">
                <wp:posOffset>-73025</wp:posOffset>
              </wp:positionV>
              <wp:extent cx="7364730" cy="9723755"/>
              <wp:effectExtent l="0" t="0" r="18415" b="10795"/>
              <wp:wrapNone/>
              <wp:docPr id="452" name="Rechteck 452"/>
              <wp:cNvGraphicFramePr/>
              <a:graphic xmlns:a="http://schemas.openxmlformats.org/drawingml/2006/main">
                <a:graphicData uri="http://schemas.microsoft.com/office/word/2010/wordprocessingShape">
                  <wps:wsp>
                    <wps:cNvSpPr/>
                    <wps:spPr>
                      <a:xfrm>
                        <a:off x="0" y="0"/>
                        <a:ext cx="7364730" cy="972375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4968EC2A" id="Rechteck 452" o:spid="_x0000_s1026" style="position:absolute;margin-left:19pt;margin-top:-5.75pt;width:579.9pt;height:765.65pt;z-index:251659264;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" filled="f" strokecolor="#3f3f3f [1614]" strokeweight="1.25pt">
              <w10:wrap anchorx="margin" anchory="margin"/>
            </v:rect>
          </w:pict>
        </mc:Fallback>
      </mc:AlternateContent>
    </w:r>
    <w:r w:rsidRPr="00915791">
      <w:rPr>
        <w:color w:val="EC792C" w:themeColor="accent4" w:themeShade="BF"/>
        <w:u w:val="none"/>
      </w:rPr>
      <w:fldChar w:fldCharType="begin"/>
    </w:r>
    <w:r w:rsidRPr="00915791">
      <w:rPr>
        <w:color w:val="EC792C" w:themeColor="accent4" w:themeShade="BF"/>
        <w:u w:val="none"/>
      </w:rPr>
      <w:instrText xml:space="preserve"> TIME \@ "dd.MM.yy" </w:instrText>
    </w:r>
    <w:r w:rsidRPr="00915791">
      <w:rPr>
        <w:color w:val="EC792C" w:themeColor="accent4" w:themeShade="BF"/>
        <w:u w:val="none"/>
      </w:rPr>
      <w:fldChar w:fldCharType="separate"/>
    </w:r>
    <w:r w:rsidR="00626569">
      <w:rPr>
        <w:noProof/>
        <w:color w:val="EC792C" w:themeColor="accent4" w:themeShade="BF"/>
        <w:u w:val="none"/>
      </w:rPr>
      <w:t>12.05.24</w:t>
    </w:r>
    <w:r w:rsidRPr="00915791">
      <w:rPr>
        <w:color w:val="EC792C" w:themeColor="accent4" w:themeShade="BF"/>
        <w:u w:val="none"/>
      </w:rPr>
      <w:fldChar w:fldCharType="end"/>
    </w:r>
    <w:r w:rsidRPr="00915791">
      <w:rPr>
        <w:color w:val="EC792C" w:themeColor="accent4" w:themeShade="BF"/>
        <w:u w:val="none"/>
      </w:rPr>
      <w:t xml:space="preserve"> </w:t>
    </w:r>
    <w:r>
      <w:rPr>
        <w:color w:val="EC792C" w:themeColor="accent4" w:themeShade="BF"/>
        <w:u w:val="none"/>
      </w:rPr>
      <w:tab/>
    </w:r>
    <w:r>
      <w:rPr>
        <w:color w:val="EC792C" w:themeColor="accent4" w:themeShade="BF"/>
        <w:u w:val="none"/>
      </w:rPr>
      <w:tab/>
    </w:r>
    <w:r>
      <w:rPr>
        <w:color w:val="EC792C" w:themeColor="accent4" w:themeShade="BF"/>
        <w:u w:val="none"/>
      </w:rPr>
      <w:tab/>
    </w:r>
    <w:r>
      <w:rPr>
        <w:color w:val="EC792C" w:themeColor="accent4" w:themeShade="BF"/>
        <w:u w:val="none"/>
      </w:rPr>
      <w:tab/>
    </w:r>
    <w:r>
      <w:rPr>
        <w:color w:val="EC792C" w:themeColor="accent4" w:themeShade="BF"/>
        <w:u w:val="none"/>
      </w:rPr>
      <w:tab/>
    </w:r>
    <w:r w:rsidRPr="00915791">
      <w:rPr>
        <w:color w:val="EC792C" w:themeColor="accent4" w:themeShade="BF"/>
        <w:u w:val="none"/>
      </w:rPr>
      <w:t xml:space="preserve"> </w:t>
    </w:r>
    <w:r w:rsidRPr="00843AAD">
      <w:rPr>
        <w:color w:val="EC792C" w:themeColor="accent4" w:themeShade="BF"/>
        <w:sz w:val="44"/>
        <w:szCs w:val="32"/>
      </w:rPr>
      <w:t>Die Kolonialisierung Namibias</w:t>
    </w:r>
    <w:r w:rsidRPr="00843AAD">
      <w:rPr>
        <w:color w:val="EC792C" w:themeColor="accent4" w:themeShade="BF"/>
        <w:sz w:val="44"/>
        <w:szCs w:val="32"/>
        <w:u w:val="none"/>
      </w:rPr>
      <w:t xml:space="preserve"> </w:t>
    </w:r>
    <w:r w:rsidRPr="00843AAD">
      <w:rPr>
        <w:color w:val="EC792C" w:themeColor="accent4" w:themeShade="BF"/>
        <w:sz w:val="44"/>
        <w:szCs w:val="32"/>
        <w:u w:val="none"/>
      </w:rPr>
      <w:tab/>
    </w:r>
    <w:r>
      <w:rPr>
        <w:color w:val="EC792C" w:themeColor="accent4" w:themeShade="BF"/>
        <w:u w:val="none"/>
      </w:rPr>
      <w:tab/>
    </w:r>
    <w:r>
      <w:rPr>
        <w:color w:val="EC792C" w:themeColor="accent4" w:themeShade="BF"/>
        <w:u w:val="none"/>
      </w:rPr>
      <w:tab/>
      <w:t xml:space="preserve">        </w:t>
    </w:r>
    <w:r w:rsidRPr="00915791">
      <w:rPr>
        <w:color w:val="EC792C" w:themeColor="accent4" w:themeShade="BF"/>
        <w:u w:val="none"/>
      </w:rPr>
      <w:t xml:space="preserve">Seite </w:t>
    </w:r>
    <w:r w:rsidRPr="00915791">
      <w:rPr>
        <w:b w:val="0"/>
        <w:bCs/>
        <w:color w:val="EC792C" w:themeColor="accent4" w:themeShade="BF"/>
        <w:u w:val="none"/>
      </w:rPr>
      <w:fldChar w:fldCharType="begin"/>
    </w:r>
    <w:r w:rsidRPr="00915791">
      <w:rPr>
        <w:b w:val="0"/>
        <w:bCs/>
        <w:color w:val="EC792C" w:themeColor="accent4" w:themeShade="BF"/>
        <w:u w:val="none"/>
      </w:rPr>
      <w:instrText>PAGE  \* Arabic  \* MERGEFORMAT</w:instrText>
    </w:r>
    <w:r w:rsidRPr="00915791">
      <w:rPr>
        <w:b w:val="0"/>
        <w:bCs/>
        <w:color w:val="EC792C" w:themeColor="accent4" w:themeShade="BF"/>
        <w:u w:val="none"/>
      </w:rPr>
      <w:fldChar w:fldCharType="separate"/>
    </w:r>
    <w:r>
      <w:rPr>
        <w:b w:val="0"/>
        <w:bCs/>
        <w:color w:val="EC792C" w:themeColor="accent4" w:themeShade="BF"/>
      </w:rPr>
      <w:t>2</w:t>
    </w:r>
    <w:r w:rsidRPr="00915791">
      <w:rPr>
        <w:b w:val="0"/>
        <w:bCs/>
        <w:color w:val="EC792C" w:themeColor="accent4" w:themeShade="BF"/>
        <w:u w:val="none"/>
      </w:rPr>
      <w:fldChar w:fldCharType="end"/>
    </w:r>
    <w:r w:rsidRPr="00915791">
      <w:rPr>
        <w:color w:val="EC792C" w:themeColor="accent4" w:themeShade="BF"/>
        <w:u w:val="none"/>
      </w:rPr>
      <w:t xml:space="preserve"> von </w:t>
    </w:r>
    <w:r w:rsidRPr="00915791">
      <w:rPr>
        <w:b w:val="0"/>
        <w:bCs/>
        <w:color w:val="EC792C" w:themeColor="accent4" w:themeShade="BF"/>
        <w:u w:val="none"/>
      </w:rPr>
      <w:fldChar w:fldCharType="begin"/>
    </w:r>
    <w:r w:rsidRPr="00915791">
      <w:rPr>
        <w:b w:val="0"/>
        <w:bCs/>
        <w:color w:val="EC792C" w:themeColor="accent4" w:themeShade="BF"/>
        <w:u w:val="none"/>
      </w:rPr>
      <w:instrText>NUMPAGES  \* Arabic  \* MERGEFORMAT</w:instrText>
    </w:r>
    <w:r w:rsidRPr="00915791">
      <w:rPr>
        <w:b w:val="0"/>
        <w:bCs/>
        <w:color w:val="EC792C" w:themeColor="accent4" w:themeShade="BF"/>
        <w:u w:val="none"/>
      </w:rPr>
      <w:fldChar w:fldCharType="separate"/>
    </w:r>
    <w:r>
      <w:rPr>
        <w:b w:val="0"/>
        <w:bCs/>
        <w:color w:val="EC792C" w:themeColor="accent4" w:themeShade="BF"/>
      </w:rPr>
      <w:t>10</w:t>
    </w:r>
    <w:r w:rsidRPr="00915791">
      <w:rPr>
        <w:b w:val="0"/>
        <w:bCs/>
        <w:color w:val="EC792C" w:themeColor="accent4" w:themeShade="BF"/>
        <w:u w:val="none"/>
      </w:rPr>
      <w:fldChar w:fldCharType="end"/>
    </w:r>
    <w:r>
      <w:rPr>
        <w:color w:val="EC792C" w:themeColor="accent4" w:themeShade="BF"/>
        <w:u w:val="none"/>
      </w:rPr>
      <w:br/>
    </w:r>
    <w:r w:rsidRPr="00915791">
      <w:rPr>
        <w:color w:val="EC792C" w:themeColor="accent4" w:themeShade="BF"/>
        <w:u w:val="none"/>
      </w:rPr>
      <w:t xml:space="preserve">Hornhuber Caroline, Melanie Dohr, </w:t>
    </w:r>
    <w:proofErr w:type="spellStart"/>
    <w:r w:rsidRPr="00915791">
      <w:rPr>
        <w:color w:val="EC792C" w:themeColor="accent4" w:themeShade="BF"/>
        <w:u w:val="none"/>
      </w:rPr>
      <w:t>Gastelsberger</w:t>
    </w:r>
    <w:proofErr w:type="spellEnd"/>
    <w:r w:rsidRPr="00915791">
      <w:rPr>
        <w:color w:val="EC792C" w:themeColor="accent4" w:themeShade="BF"/>
        <w:u w:val="none"/>
      </w:rPr>
      <w:t xml:space="preserve"> Lucas</w:t>
    </w:r>
    <w:r w:rsidRPr="00915791">
      <w:rPr>
        <w:color w:val="EC792C" w:themeColor="accent4" w:themeShade="BF"/>
        <w:u w:val="none"/>
      </w:rPr>
      <w:tab/>
    </w:r>
    <w:r w:rsidRPr="00915791">
      <w:rPr>
        <w:color w:val="EC792C" w:themeColor="accent4" w:themeShade="BF"/>
        <w:u w:val="none"/>
      </w:rPr>
      <w:tab/>
    </w:r>
    <w:r w:rsidRPr="00915791">
      <w:rPr>
        <w:color w:val="EC792C" w:themeColor="accent4" w:themeShade="BF"/>
        <w:u w:val="none"/>
      </w:rPr>
      <w:tab/>
    </w:r>
    <w:r w:rsidRPr="00915791">
      <w:rPr>
        <w:color w:val="EC792C" w:themeColor="accent4" w:themeShade="BF"/>
        <w:u w:val="none"/>
      </w:rPr>
      <w:tab/>
    </w:r>
    <w:r w:rsidRPr="00915791">
      <w:rPr>
        <w:color w:val="EC792C" w:themeColor="accent4" w:themeShade="BF"/>
        <w:u w:val="none"/>
      </w:rPr>
      <w:tab/>
    </w:r>
    <w:r>
      <w:rPr>
        <w:color w:val="EC792C" w:themeColor="accent4" w:themeShade="BF"/>
        <w:u w:val="none"/>
      </w:rPr>
      <w:tab/>
    </w:r>
    <w:r>
      <w:rPr>
        <w:color w:val="EC792C" w:themeColor="accent4" w:themeShade="BF"/>
        <w:u w:val="non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61.05pt;height:176.05pt" o:bullet="t">
        <v:imagedata r:id="rId1" o:title="flower_hibiskus"/>
      </v:shape>
    </w:pict>
  </w:numPicBullet>
  <w:abstractNum w:abstractNumId="0" w15:restartNumberingAfterBreak="0">
    <w:nsid w:val="FFFFFF7C"/>
    <w:multiLevelType w:val="singleLevel"/>
    <w:tmpl w:val="DC6CC2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B50E58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B725F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0261F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52C4D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37652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9344E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A876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2030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769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865F0B"/>
    <w:multiLevelType w:val="hybridMultilevel"/>
    <w:tmpl w:val="D042E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11957CC"/>
    <w:multiLevelType w:val="hybridMultilevel"/>
    <w:tmpl w:val="9FA61048"/>
    <w:lvl w:ilvl="0" w:tplc="FDC8AD2A">
      <w:start w:val="1"/>
      <w:numFmt w:val="bullet"/>
      <w:pStyle w:val="berschrift10"/>
      <w:lvlText w:val=""/>
      <w:lvlPicBulletId w:val="0"/>
      <w:lvlJc w:val="left"/>
      <w:pPr>
        <w:ind w:left="1287"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46113710">
    <w:abstractNumId w:val="11"/>
  </w:num>
  <w:num w:numId="2" w16cid:durableId="499543814">
    <w:abstractNumId w:val="9"/>
  </w:num>
  <w:num w:numId="3" w16cid:durableId="1245801350">
    <w:abstractNumId w:val="7"/>
  </w:num>
  <w:num w:numId="4" w16cid:durableId="245264724">
    <w:abstractNumId w:val="6"/>
  </w:num>
  <w:num w:numId="5" w16cid:durableId="819422246">
    <w:abstractNumId w:val="5"/>
  </w:num>
  <w:num w:numId="6" w16cid:durableId="2113358959">
    <w:abstractNumId w:val="4"/>
  </w:num>
  <w:num w:numId="7" w16cid:durableId="558444565">
    <w:abstractNumId w:val="8"/>
  </w:num>
  <w:num w:numId="8" w16cid:durableId="1955404464">
    <w:abstractNumId w:val="3"/>
  </w:num>
  <w:num w:numId="9" w16cid:durableId="379481355">
    <w:abstractNumId w:val="2"/>
  </w:num>
  <w:num w:numId="10" w16cid:durableId="1184632104">
    <w:abstractNumId w:val="1"/>
  </w:num>
  <w:num w:numId="11" w16cid:durableId="2068532553">
    <w:abstractNumId w:val="0"/>
  </w:num>
  <w:num w:numId="12" w16cid:durableId="16370291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1C7"/>
    <w:rsid w:val="0007114F"/>
    <w:rsid w:val="00097632"/>
    <w:rsid w:val="00100106"/>
    <w:rsid w:val="001621C7"/>
    <w:rsid w:val="00180BB0"/>
    <w:rsid w:val="0018136C"/>
    <w:rsid w:val="00186E96"/>
    <w:rsid w:val="001A354D"/>
    <w:rsid w:val="001E2A03"/>
    <w:rsid w:val="00230053"/>
    <w:rsid w:val="00266F21"/>
    <w:rsid w:val="002B7164"/>
    <w:rsid w:val="002F0B73"/>
    <w:rsid w:val="00364E94"/>
    <w:rsid w:val="003A1244"/>
    <w:rsid w:val="003C2E6E"/>
    <w:rsid w:val="00446024"/>
    <w:rsid w:val="00516C60"/>
    <w:rsid w:val="005371FF"/>
    <w:rsid w:val="005849ED"/>
    <w:rsid w:val="005A2EA5"/>
    <w:rsid w:val="00626569"/>
    <w:rsid w:val="006603A4"/>
    <w:rsid w:val="00660A96"/>
    <w:rsid w:val="006C4A28"/>
    <w:rsid w:val="007822DC"/>
    <w:rsid w:val="007D6E33"/>
    <w:rsid w:val="00843AAD"/>
    <w:rsid w:val="008E6CCD"/>
    <w:rsid w:val="00915791"/>
    <w:rsid w:val="009509A2"/>
    <w:rsid w:val="00962684"/>
    <w:rsid w:val="009C6AF2"/>
    <w:rsid w:val="00A155BD"/>
    <w:rsid w:val="00A318AF"/>
    <w:rsid w:val="00AC782C"/>
    <w:rsid w:val="00AE28ED"/>
    <w:rsid w:val="00B04D51"/>
    <w:rsid w:val="00B32EB2"/>
    <w:rsid w:val="00B50BAD"/>
    <w:rsid w:val="00BD3B6A"/>
    <w:rsid w:val="00DA1E4A"/>
    <w:rsid w:val="00DB6AA4"/>
    <w:rsid w:val="00E21DB2"/>
    <w:rsid w:val="00F142C7"/>
    <w:rsid w:val="00F42A0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
    </o:shapedefaults>
    <o:shapelayout v:ext="edit">
      <o:idmap v:ext="edit" data="2"/>
    </o:shapelayout>
  </w:shapeDefaults>
  <w:decimalSymbol w:val="."/>
  <w:listSeparator w:val=","/>
  <w14:docId w14:val="61E8CD7A"/>
  <w15:chartTrackingRefBased/>
  <w15:docId w15:val="{AA5263BD-36BF-4148-A8CC-B8F088483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82C"/>
    <w:rPr>
      <w:rFonts w:ascii="Calibri" w:hAnsi="Calibri"/>
      <w:lang w:val="de-DE"/>
    </w:rPr>
  </w:style>
  <w:style w:type="paragraph" w:styleId="Heading1">
    <w:name w:val="heading 1"/>
    <w:basedOn w:val="Normal"/>
    <w:next w:val="Normal"/>
    <w:link w:val="Heading1Char"/>
    <w:uiPriority w:val="9"/>
    <w:qFormat/>
    <w:rsid w:val="00266F21"/>
    <w:pPr>
      <w:keepNext/>
      <w:keepLines/>
      <w:spacing w:before="240" w:line="240" w:lineRule="auto"/>
      <w:jc w:val="center"/>
      <w:outlineLvl w:val="0"/>
    </w:pPr>
    <w:rPr>
      <w:rFonts w:ascii="Hashed Browns" w:eastAsiaTheme="majorEastAsia" w:hAnsi="Hashed Browns" w:cstheme="majorBidi"/>
      <w:color w:val="F2F2F2" w:themeColor="background1"/>
      <w:sz w:val="56"/>
      <w:szCs w:val="32"/>
      <w:u w:val="wave"/>
    </w:rPr>
  </w:style>
  <w:style w:type="paragraph" w:styleId="Heading2">
    <w:name w:val="heading 2"/>
    <w:basedOn w:val="Normal"/>
    <w:next w:val="Normal"/>
    <w:link w:val="Heading2Char"/>
    <w:uiPriority w:val="9"/>
    <w:unhideWhenUsed/>
    <w:qFormat/>
    <w:rsid w:val="00266F21"/>
    <w:pPr>
      <w:pBdr>
        <w:between w:val="single" w:sz="36" w:space="1" w:color="FFFFFF"/>
      </w:pBdr>
      <w:shd w:val="horzStripe" w:color="FFF2CB" w:themeColor="accent1" w:themeTint="33" w:fill="auto"/>
      <w:spacing w:before="240" w:after="120" w:line="240" w:lineRule="auto"/>
      <w:jc w:val="center"/>
      <w:outlineLvl w:val="1"/>
    </w:pPr>
    <w:rPr>
      <w:rFonts w:ascii="Hashed Browns" w:eastAsiaTheme="majorEastAsia" w:hAnsi="Hashed Browns" w:cstheme="majorBidi"/>
      <w:color w:val="FFD963" w:themeColor="accent1" w:themeTint="99"/>
      <w:sz w:val="44"/>
      <w:szCs w:val="26"/>
      <w14:textOutline w14:w="9525" w14:cap="rnd" w14:cmpd="sng" w14:algn="ctr">
        <w14:noFill/>
        <w14:prstDash w14:val="solid"/>
        <w14:bevel/>
      </w14:textOutline>
      <w14:props3d w14:extrusionH="57150" w14:contourW="0" w14:prstMaterial="none">
        <w14:extrusionClr>
          <w14:schemeClr w14:val="tx2"/>
        </w14:extrusionClr>
      </w14:props3d>
    </w:rPr>
  </w:style>
  <w:style w:type="paragraph" w:styleId="Heading3">
    <w:name w:val="heading 3"/>
    <w:basedOn w:val="Normal"/>
    <w:next w:val="Normal"/>
    <w:link w:val="Heading3Char"/>
    <w:uiPriority w:val="3"/>
    <w:unhideWhenUsed/>
    <w:qFormat/>
    <w:rsid w:val="00266F21"/>
    <w:pPr>
      <w:widowControl w:val="0"/>
      <w:pBdr>
        <w:top w:val="single" w:sz="36" w:space="0" w:color="FFFFFF"/>
        <w:bottom w:val="single" w:sz="36" w:space="0" w:color="FFFFFF"/>
        <w:between w:val="single" w:sz="36" w:space="0" w:color="FFFFFF"/>
      </w:pBdr>
      <w:shd w:val="solid" w:color="FFD963" w:themeColor="accent1" w:themeTint="99" w:fill="F2F2F2" w:themeFill="background1"/>
      <w:spacing w:line="240" w:lineRule="auto"/>
      <w:jc w:val="center"/>
      <w:textboxTightWrap w:val="allLines"/>
      <w:outlineLvl w:val="2"/>
    </w:pPr>
    <w:rPr>
      <w:rFonts w:ascii="Grestal Script DEMO" w:eastAsiaTheme="majorEastAsia" w:hAnsi="Grestal Script DEMO" w:cstheme="majorBidi"/>
      <w:color w:val="FFF2CC" w:themeColor="accent2"/>
      <w:sz w:val="36"/>
      <w:szCs w:val="24"/>
    </w:rPr>
  </w:style>
  <w:style w:type="paragraph" w:styleId="Heading4">
    <w:name w:val="heading 4"/>
    <w:basedOn w:val="Normal"/>
    <w:next w:val="Normal"/>
    <w:link w:val="Heading4Char"/>
    <w:uiPriority w:val="4"/>
    <w:unhideWhenUsed/>
    <w:qFormat/>
    <w:rsid w:val="00266F21"/>
    <w:pPr>
      <w:pBdr>
        <w:top w:val="single" w:sz="36" w:space="0" w:color="FFFFFF"/>
        <w:bottom w:val="single" w:sz="36" w:space="0" w:color="FFFFFF"/>
        <w:between w:val="single" w:sz="36" w:space="0" w:color="FFFFFF"/>
      </w:pBdr>
      <w:shd w:val="clear" w:color="auto" w:fill="FFF2CB" w:themeFill="accent1" w:themeFillTint="33"/>
      <w:spacing w:line="240" w:lineRule="auto"/>
      <w:ind w:right="9639" w:firstLine="397"/>
      <w:contextualSpacing/>
      <w:textboxTightWrap w:val="allLines"/>
      <w:outlineLvl w:val="3"/>
    </w:pPr>
    <w:rPr>
      <w:rFonts w:ascii="Chump Change" w:eastAsiaTheme="majorEastAsia" w:hAnsi="Chump Change" w:cstheme="majorBidi"/>
      <w:iCs/>
      <w:color w:val="FFD963" w:themeColor="accent1" w:themeTint="99"/>
      <w:kern w:val="16"/>
      <w:sz w:val="36"/>
    </w:rPr>
  </w:style>
  <w:style w:type="paragraph" w:styleId="Heading5">
    <w:name w:val="heading 5"/>
    <w:basedOn w:val="Normal"/>
    <w:next w:val="Normal"/>
    <w:link w:val="Heading5Char"/>
    <w:uiPriority w:val="5"/>
    <w:unhideWhenUsed/>
    <w:qFormat/>
    <w:rsid w:val="00266F21"/>
    <w:pPr>
      <w:keepNext/>
      <w:keepLines/>
      <w:tabs>
        <w:tab w:val="left" w:pos="567"/>
      </w:tabs>
      <w:spacing w:before="160" w:after="120"/>
      <w:ind w:firstLine="567"/>
      <w:outlineLvl w:val="4"/>
    </w:pPr>
    <w:rPr>
      <w:rFonts w:ascii="Chump Change" w:eastAsiaTheme="majorEastAsia" w:hAnsi="Chump Change" w:cstheme="majorBidi"/>
      <w:b/>
      <w:color w:val="FFE597" w:themeColor="accent1" w:themeTint="66"/>
      <w:sz w:val="32"/>
      <w:u w:val="single"/>
    </w:rPr>
  </w:style>
  <w:style w:type="paragraph" w:styleId="Heading6">
    <w:name w:val="heading 6"/>
    <w:basedOn w:val="Normal"/>
    <w:next w:val="Normal"/>
    <w:link w:val="Heading6Char"/>
    <w:uiPriority w:val="9"/>
    <w:semiHidden/>
    <w:unhideWhenUsed/>
    <w:rsid w:val="001621C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aliases w:val="Ü"/>
    <w:basedOn w:val="Normal"/>
    <w:next w:val="Normal"/>
    <w:link w:val="Heading7Char"/>
    <w:uiPriority w:val="9"/>
    <w:unhideWhenUsed/>
    <w:rsid w:val="00266F21"/>
    <w:pPr>
      <w:keepNext/>
      <w:keepLines/>
      <w:spacing w:before="40"/>
      <w:outlineLvl w:val="6"/>
    </w:pPr>
    <w:rPr>
      <w:rFonts w:asciiTheme="majorHAnsi" w:eastAsiaTheme="majorEastAsia" w:hAnsiTheme="majorHAnsi" w:cstheme="majorBidi"/>
      <w:i/>
      <w:iCs/>
      <w:color w:val="7C5E00" w:themeColor="accent1" w:themeShade="7F"/>
    </w:rPr>
  </w:style>
  <w:style w:type="paragraph" w:styleId="Heading8">
    <w:name w:val="heading 8"/>
    <w:basedOn w:val="Normal"/>
    <w:next w:val="Normal"/>
    <w:link w:val="Heading8Char"/>
    <w:uiPriority w:val="9"/>
    <w:unhideWhenUsed/>
    <w:rsid w:val="00266F2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rsid w:val="00266F2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B73"/>
    <w:rPr>
      <w:rFonts w:ascii="Hashed Browns" w:eastAsiaTheme="majorEastAsia" w:hAnsi="Hashed Browns" w:cstheme="majorBidi"/>
      <w:color w:val="F2F2F2" w:themeColor="background1"/>
      <w:sz w:val="56"/>
      <w:szCs w:val="32"/>
      <w:u w:val="wave"/>
    </w:rPr>
  </w:style>
  <w:style w:type="character" w:customStyle="1" w:styleId="Heading2Char">
    <w:name w:val="Heading 2 Char"/>
    <w:basedOn w:val="DefaultParagraphFont"/>
    <w:link w:val="Heading2"/>
    <w:uiPriority w:val="9"/>
    <w:rsid w:val="002F0B73"/>
    <w:rPr>
      <w:rFonts w:ascii="Hashed Browns" w:eastAsiaTheme="majorEastAsia" w:hAnsi="Hashed Browns" w:cstheme="majorBidi"/>
      <w:color w:val="FFD963" w:themeColor="accent1" w:themeTint="99"/>
      <w:sz w:val="44"/>
      <w:szCs w:val="26"/>
      <w:shd w:val="horzStripe" w:color="FFF2CB" w:themeColor="accent1" w:themeTint="33" w:fill="auto"/>
      <w14:textOutline w14:w="9525" w14:cap="rnd" w14:cmpd="sng" w14:algn="ctr">
        <w14:noFill/>
        <w14:prstDash w14:val="solid"/>
        <w14:bevel/>
      </w14:textOutline>
      <w14:props3d w14:extrusionH="57150" w14:contourW="0" w14:prstMaterial="none">
        <w14:extrusionClr>
          <w14:schemeClr w14:val="tx2"/>
        </w14:extrusionClr>
      </w14:props3d>
    </w:rPr>
  </w:style>
  <w:style w:type="character" w:customStyle="1" w:styleId="Heading3Char">
    <w:name w:val="Heading 3 Char"/>
    <w:basedOn w:val="DefaultParagraphFont"/>
    <w:link w:val="Heading3"/>
    <w:uiPriority w:val="3"/>
    <w:rsid w:val="002F0B73"/>
    <w:rPr>
      <w:rFonts w:ascii="Grestal Script DEMO" w:eastAsiaTheme="majorEastAsia" w:hAnsi="Grestal Script DEMO" w:cstheme="majorBidi"/>
      <w:color w:val="FFF2CC" w:themeColor="accent2"/>
      <w:sz w:val="36"/>
      <w:szCs w:val="24"/>
      <w:shd w:val="solid" w:color="FFD963" w:themeColor="accent1" w:themeTint="99" w:fill="F2F2F2" w:themeFill="background1"/>
    </w:rPr>
  </w:style>
  <w:style w:type="character" w:customStyle="1" w:styleId="Heading4Char">
    <w:name w:val="Heading 4 Char"/>
    <w:basedOn w:val="DefaultParagraphFont"/>
    <w:link w:val="Heading4"/>
    <w:uiPriority w:val="4"/>
    <w:rsid w:val="002F0B73"/>
    <w:rPr>
      <w:rFonts w:ascii="Chump Change" w:eastAsiaTheme="majorEastAsia" w:hAnsi="Chump Change" w:cstheme="majorBidi"/>
      <w:iCs/>
      <w:color w:val="FFD963" w:themeColor="accent1" w:themeTint="99"/>
      <w:kern w:val="16"/>
      <w:sz w:val="36"/>
      <w:shd w:val="clear" w:color="auto" w:fill="FFF2CB" w:themeFill="accent1" w:themeFillTint="33"/>
    </w:rPr>
  </w:style>
  <w:style w:type="character" w:customStyle="1" w:styleId="Heading5Char">
    <w:name w:val="Heading 5 Char"/>
    <w:basedOn w:val="DefaultParagraphFont"/>
    <w:link w:val="Heading5"/>
    <w:uiPriority w:val="5"/>
    <w:rsid w:val="002F0B73"/>
    <w:rPr>
      <w:rFonts w:ascii="Chump Change" w:eastAsiaTheme="majorEastAsia" w:hAnsi="Chump Change" w:cstheme="majorBidi"/>
      <w:b/>
      <w:color w:val="FFE597" w:themeColor="accent1" w:themeTint="66"/>
      <w:sz w:val="32"/>
      <w:u w:val="single"/>
    </w:rPr>
  </w:style>
  <w:style w:type="paragraph" w:customStyle="1" w:styleId="standart2">
    <w:name w:val="standart2"/>
    <w:basedOn w:val="Normal"/>
    <w:link w:val="standart2Zchn"/>
    <w:uiPriority w:val="1"/>
    <w:qFormat/>
    <w:rsid w:val="00266F21"/>
    <w:rPr>
      <w:rFonts w:ascii="Madeleina Sans" w:hAnsi="Madeleina Sans"/>
    </w:rPr>
  </w:style>
  <w:style w:type="character" w:customStyle="1" w:styleId="standart2Zchn">
    <w:name w:val="standart2 Zchn"/>
    <w:basedOn w:val="DefaultParagraphFont"/>
    <w:link w:val="standart2"/>
    <w:uiPriority w:val="1"/>
    <w:rsid w:val="002F0B73"/>
    <w:rPr>
      <w:rFonts w:ascii="Madeleina Sans" w:hAnsi="Madeleina Sans"/>
    </w:rPr>
  </w:style>
  <w:style w:type="paragraph" w:customStyle="1" w:styleId="berschrift10">
    <w:name w:val="Überschrift 10"/>
    <w:aliases w:val="Coconut"/>
    <w:basedOn w:val="Heading8"/>
    <w:uiPriority w:val="10"/>
    <w:qFormat/>
    <w:rsid w:val="00266F21"/>
    <w:pPr>
      <w:numPr>
        <w:numId w:val="1"/>
      </w:numPr>
      <w:shd w:val="clear" w:color="auto" w:fill="F1E2DB" w:themeFill="accent6" w:themeFillTint="33"/>
      <w:ind w:left="851" w:right="8645" w:hanging="425"/>
    </w:pPr>
    <w:rPr>
      <w:rFonts w:ascii="Keep on Truckin'" w:hAnsi="Keep on Truckin'"/>
      <w:color w:val="FFD03D" w:themeColor="accent3" w:themeShade="BF"/>
      <w:sz w:val="32"/>
      <w:szCs w:val="32"/>
    </w:rPr>
  </w:style>
  <w:style w:type="character" w:customStyle="1" w:styleId="Heading8Char">
    <w:name w:val="Heading 8 Char"/>
    <w:basedOn w:val="DefaultParagraphFont"/>
    <w:link w:val="Heading8"/>
    <w:uiPriority w:val="9"/>
    <w:rsid w:val="00266F21"/>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266F21"/>
    <w:pPr>
      <w:tabs>
        <w:tab w:val="center" w:pos="4536"/>
        <w:tab w:val="right" w:pos="9072"/>
      </w:tabs>
      <w:spacing w:line="240" w:lineRule="auto"/>
    </w:pPr>
  </w:style>
  <w:style w:type="character" w:customStyle="1" w:styleId="HeaderChar">
    <w:name w:val="Header Char"/>
    <w:basedOn w:val="DefaultParagraphFont"/>
    <w:link w:val="Header"/>
    <w:uiPriority w:val="99"/>
    <w:rsid w:val="00266F21"/>
    <w:rPr>
      <w:rFonts w:ascii="Geliat ExtraLight" w:hAnsi="Geliat ExtraLight"/>
    </w:rPr>
  </w:style>
  <w:style w:type="paragraph" w:styleId="Footer">
    <w:name w:val="footer"/>
    <w:basedOn w:val="Normal"/>
    <w:link w:val="FooterChar"/>
    <w:uiPriority w:val="99"/>
    <w:unhideWhenUsed/>
    <w:rsid w:val="00266F21"/>
    <w:pPr>
      <w:tabs>
        <w:tab w:val="center" w:pos="4536"/>
        <w:tab w:val="right" w:pos="9072"/>
      </w:tabs>
      <w:spacing w:line="240" w:lineRule="auto"/>
    </w:pPr>
  </w:style>
  <w:style w:type="character" w:customStyle="1" w:styleId="FooterChar">
    <w:name w:val="Footer Char"/>
    <w:basedOn w:val="DefaultParagraphFont"/>
    <w:link w:val="Footer"/>
    <w:uiPriority w:val="99"/>
    <w:rsid w:val="00266F21"/>
    <w:rPr>
      <w:rFonts w:ascii="Geliat ExtraLight" w:hAnsi="Geliat ExtraLight"/>
    </w:rPr>
  </w:style>
  <w:style w:type="character" w:customStyle="1" w:styleId="Heading7Char">
    <w:name w:val="Heading 7 Char"/>
    <w:aliases w:val="Ü Char"/>
    <w:basedOn w:val="DefaultParagraphFont"/>
    <w:link w:val="Heading7"/>
    <w:uiPriority w:val="9"/>
    <w:rsid w:val="00266F21"/>
    <w:rPr>
      <w:rFonts w:asciiTheme="majorHAnsi" w:eastAsiaTheme="majorEastAsia" w:hAnsiTheme="majorHAnsi" w:cstheme="majorBidi"/>
      <w:i/>
      <w:iCs/>
      <w:color w:val="7C5E00" w:themeColor="accent1" w:themeShade="7F"/>
    </w:rPr>
  </w:style>
  <w:style w:type="character" w:styleId="Emphasis">
    <w:name w:val="Emphasis"/>
    <w:basedOn w:val="DefaultParagraphFont"/>
    <w:uiPriority w:val="20"/>
    <w:rsid w:val="00266F21"/>
    <w:rPr>
      <w:i/>
      <w:iCs/>
    </w:rPr>
  </w:style>
  <w:style w:type="paragraph" w:customStyle="1" w:styleId="Zitate">
    <w:name w:val="Zitate"/>
    <w:basedOn w:val="Heading7"/>
    <w:uiPriority w:val="6"/>
    <w:qFormat/>
    <w:rsid w:val="00266F21"/>
    <w:pPr>
      <w:pBdr>
        <w:left w:val="single" w:sz="24" w:space="4" w:color="FFD963" w:themeColor="accent1" w:themeTint="99"/>
      </w:pBdr>
      <w:shd w:val="clear" w:color="auto" w:fill="FFFCF4" w:themeFill="accent2" w:themeFillTint="33"/>
      <w:spacing w:before="120" w:after="120"/>
      <w:ind w:left="709" w:right="709"/>
    </w:pPr>
    <w:rPr>
      <w:i w:val="0"/>
      <w:color w:val="FFD963" w:themeColor="accent1" w:themeTint="99"/>
    </w:rPr>
  </w:style>
  <w:style w:type="character" w:customStyle="1" w:styleId="Heading9Char">
    <w:name w:val="Heading 9 Char"/>
    <w:basedOn w:val="DefaultParagraphFont"/>
    <w:link w:val="Heading9"/>
    <w:uiPriority w:val="9"/>
    <w:rsid w:val="00266F21"/>
    <w:rPr>
      <w:rFonts w:asciiTheme="majorHAnsi" w:eastAsiaTheme="majorEastAsia" w:hAnsiTheme="majorHAnsi" w:cstheme="majorBidi"/>
      <w:i/>
      <w:iCs/>
      <w:color w:val="272727" w:themeColor="text1" w:themeTint="D8"/>
      <w:sz w:val="21"/>
      <w:szCs w:val="21"/>
    </w:rPr>
  </w:style>
  <w:style w:type="character" w:customStyle="1" w:styleId="Heading6Char">
    <w:name w:val="Heading 6 Char"/>
    <w:basedOn w:val="DefaultParagraphFont"/>
    <w:link w:val="Heading6"/>
    <w:uiPriority w:val="9"/>
    <w:semiHidden/>
    <w:rsid w:val="001621C7"/>
    <w:rPr>
      <w:rFonts w:eastAsiaTheme="majorEastAsia" w:cstheme="majorBidi"/>
      <w:i/>
      <w:iCs/>
      <w:color w:val="595959" w:themeColor="text1" w:themeTint="A6"/>
    </w:rPr>
  </w:style>
  <w:style w:type="paragraph" w:styleId="Title">
    <w:name w:val="Title"/>
    <w:basedOn w:val="Normal"/>
    <w:next w:val="Normal"/>
    <w:link w:val="TitleChar"/>
    <w:uiPriority w:val="10"/>
    <w:rsid w:val="001621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1621C7"/>
    <w:pPr>
      <w:numPr>
        <w:ilvl w:val="1"/>
      </w:numPr>
      <w:ind w:left="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21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1621C7"/>
    <w:pPr>
      <w:spacing w:before="160"/>
      <w:jc w:val="center"/>
    </w:pPr>
    <w:rPr>
      <w:i/>
      <w:iCs/>
      <w:color w:val="404040" w:themeColor="text1" w:themeTint="BF"/>
    </w:rPr>
  </w:style>
  <w:style w:type="character" w:customStyle="1" w:styleId="QuoteChar">
    <w:name w:val="Quote Char"/>
    <w:basedOn w:val="DefaultParagraphFont"/>
    <w:link w:val="Quote"/>
    <w:uiPriority w:val="29"/>
    <w:rsid w:val="001621C7"/>
    <w:rPr>
      <w:rFonts w:ascii="Geliat ExtraLight" w:hAnsi="Geliat ExtraLight"/>
      <w:i/>
      <w:iCs/>
      <w:color w:val="404040" w:themeColor="text1" w:themeTint="BF"/>
    </w:rPr>
  </w:style>
  <w:style w:type="paragraph" w:styleId="ListParagraph">
    <w:name w:val="List Paragraph"/>
    <w:basedOn w:val="Normal"/>
    <w:uiPriority w:val="34"/>
    <w:qFormat/>
    <w:rsid w:val="001621C7"/>
    <w:pPr>
      <w:ind w:left="720"/>
      <w:contextualSpacing/>
    </w:pPr>
  </w:style>
  <w:style w:type="character" w:styleId="IntenseEmphasis">
    <w:name w:val="Intense Emphasis"/>
    <w:basedOn w:val="DefaultParagraphFont"/>
    <w:uiPriority w:val="21"/>
    <w:rsid w:val="001621C7"/>
    <w:rPr>
      <w:i/>
      <w:iCs/>
      <w:color w:val="BB8D00" w:themeColor="accent1" w:themeShade="BF"/>
    </w:rPr>
  </w:style>
  <w:style w:type="paragraph" w:styleId="IntenseQuote">
    <w:name w:val="Intense Quote"/>
    <w:basedOn w:val="Normal"/>
    <w:next w:val="Normal"/>
    <w:link w:val="IntenseQuoteChar"/>
    <w:uiPriority w:val="30"/>
    <w:rsid w:val="001621C7"/>
    <w:pPr>
      <w:pBdr>
        <w:top w:val="single" w:sz="4" w:space="10" w:color="BB8D00" w:themeColor="accent1" w:themeShade="BF"/>
        <w:bottom w:val="single" w:sz="4" w:space="10" w:color="BB8D00" w:themeColor="accent1" w:themeShade="BF"/>
      </w:pBdr>
      <w:spacing w:before="360" w:after="360"/>
      <w:ind w:left="864" w:right="864"/>
      <w:jc w:val="center"/>
    </w:pPr>
    <w:rPr>
      <w:i/>
      <w:iCs/>
      <w:color w:val="BB8D00" w:themeColor="accent1" w:themeShade="BF"/>
    </w:rPr>
  </w:style>
  <w:style w:type="character" w:customStyle="1" w:styleId="IntenseQuoteChar">
    <w:name w:val="Intense Quote Char"/>
    <w:basedOn w:val="DefaultParagraphFont"/>
    <w:link w:val="IntenseQuote"/>
    <w:uiPriority w:val="30"/>
    <w:rsid w:val="001621C7"/>
    <w:rPr>
      <w:rFonts w:ascii="Geliat ExtraLight" w:hAnsi="Geliat ExtraLight"/>
      <w:i/>
      <w:iCs/>
      <w:color w:val="BB8D00" w:themeColor="accent1" w:themeShade="BF"/>
    </w:rPr>
  </w:style>
  <w:style w:type="character" w:styleId="IntenseReference">
    <w:name w:val="Intense Reference"/>
    <w:basedOn w:val="DefaultParagraphFont"/>
    <w:uiPriority w:val="32"/>
    <w:rsid w:val="001621C7"/>
    <w:rPr>
      <w:b/>
      <w:bCs/>
      <w:smallCaps/>
      <w:color w:val="BB8D00" w:themeColor="accent1" w:themeShade="BF"/>
      <w:spacing w:val="5"/>
    </w:rPr>
  </w:style>
  <w:style w:type="paragraph" w:styleId="Bibliography">
    <w:name w:val="Bibliography"/>
    <w:basedOn w:val="Normal"/>
    <w:next w:val="Normal"/>
    <w:uiPriority w:val="37"/>
    <w:unhideWhenUsed/>
    <w:rsid w:val="00AC782C"/>
  </w:style>
  <w:style w:type="paragraph" w:styleId="TOCHeading">
    <w:name w:val="TOC Heading"/>
    <w:basedOn w:val="Heading1"/>
    <w:next w:val="Normal"/>
    <w:uiPriority w:val="39"/>
    <w:unhideWhenUsed/>
    <w:qFormat/>
    <w:rsid w:val="00AC782C"/>
    <w:pPr>
      <w:spacing w:after="0" w:line="259" w:lineRule="auto"/>
      <w:jc w:val="left"/>
      <w:outlineLvl w:val="9"/>
    </w:pPr>
    <w:rPr>
      <w:rFonts w:asciiTheme="majorHAnsi" w:hAnsiTheme="majorHAnsi"/>
      <w:color w:val="BB8D00" w:themeColor="accent1" w:themeShade="BF"/>
      <w:kern w:val="0"/>
      <w:sz w:val="32"/>
      <w:u w:val="none"/>
      <w:lang w:val="en-US"/>
      <w14:ligatures w14:val="none"/>
    </w:rPr>
  </w:style>
  <w:style w:type="paragraph" w:styleId="TOC1">
    <w:name w:val="toc 1"/>
    <w:basedOn w:val="Normal"/>
    <w:next w:val="Normal"/>
    <w:autoRedefine/>
    <w:uiPriority w:val="39"/>
    <w:unhideWhenUsed/>
    <w:rsid w:val="00AC782C"/>
    <w:pPr>
      <w:spacing w:after="100"/>
    </w:pPr>
  </w:style>
  <w:style w:type="paragraph" w:styleId="TOC2">
    <w:name w:val="toc 2"/>
    <w:basedOn w:val="Normal"/>
    <w:next w:val="Normal"/>
    <w:autoRedefine/>
    <w:uiPriority w:val="39"/>
    <w:unhideWhenUsed/>
    <w:rsid w:val="00100106"/>
    <w:pPr>
      <w:tabs>
        <w:tab w:val="right" w:leader="dot" w:pos="10915"/>
      </w:tabs>
      <w:spacing w:after="100"/>
      <w:ind w:left="426"/>
    </w:pPr>
    <w:rPr>
      <w:rFonts w:ascii="Geliat ExtraLight" w:hAnsi="Geliat ExtraLight"/>
      <w:b/>
      <w:bCs/>
      <w:noProof/>
    </w:rPr>
  </w:style>
  <w:style w:type="paragraph" w:styleId="TOC3">
    <w:name w:val="toc 3"/>
    <w:basedOn w:val="Normal"/>
    <w:next w:val="Normal"/>
    <w:autoRedefine/>
    <w:uiPriority w:val="39"/>
    <w:unhideWhenUsed/>
    <w:rsid w:val="00100106"/>
    <w:pPr>
      <w:tabs>
        <w:tab w:val="left" w:pos="10915"/>
        <w:tab w:val="right" w:leader="dot" w:pos="11057"/>
      </w:tabs>
      <w:spacing w:after="100"/>
      <w:ind w:left="440" w:right="849" w:firstLine="694"/>
    </w:pPr>
  </w:style>
  <w:style w:type="character" w:styleId="Hyperlink">
    <w:name w:val="Hyperlink"/>
    <w:basedOn w:val="DefaultParagraphFont"/>
    <w:uiPriority w:val="99"/>
    <w:unhideWhenUsed/>
    <w:rsid w:val="00AC782C"/>
    <w:rPr>
      <w:color w:val="CEE6F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GELB">
      <a:dk1>
        <a:sysClr val="windowText" lastClr="000000"/>
      </a:dk1>
      <a:lt1>
        <a:srgbClr val="F2F2F2"/>
      </a:lt1>
      <a:dk2>
        <a:srgbClr val="D8D8D8"/>
      </a:dk2>
      <a:lt2>
        <a:srgbClr val="7F7F7F"/>
      </a:lt2>
      <a:accent1>
        <a:srgbClr val="FABE00"/>
      </a:accent1>
      <a:accent2>
        <a:srgbClr val="FFF2CC"/>
      </a:accent2>
      <a:accent3>
        <a:srgbClr val="FFEAA7"/>
      </a:accent3>
      <a:accent4>
        <a:srgbClr val="F4B183"/>
      </a:accent4>
      <a:accent5>
        <a:srgbClr val="DFA67B"/>
      </a:accent5>
      <a:accent6>
        <a:srgbClr val="BA704F"/>
      </a:accent6>
      <a:hlink>
        <a:srgbClr val="CEE6F3"/>
      </a:hlink>
      <a:folHlink>
        <a:srgbClr val="47295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kna20</b:Tag>
    <b:SourceType>InternetSite</b:SourceType>
    <b:Guid>{6A278FD5-7B92-4041-9320-D33AD6993C46}</b:Guid>
    <b:Author>
      <b:Author>
        <b:NameList>
          <b:Person>
            <b:Last>knapp</b:Last>
            <b:First>Redaktion</b:First>
            <b:Middle>bpb - kurz und</b:Middle>
          </b:Person>
        </b:NameList>
      </b:Author>
    </b:Author>
    <b:Title>Namibia feiert seine Unabhängigkeit</b:Title>
    <b:Year>2020</b:Year>
    <b:Month>März</b:Month>
    <b:Day>20</b:Day>
    <b:InternetSiteTitle>bpb.de</b:InternetSiteTitle>
    <b:URL>https://www.bpb.de/kurz-knapp/hintergrund-aktuell/203118/namibia-feiert-seine-unabhaengigkeit/</b:URL>
    <b:YearAccessed>2024</b:YearAccessed>
    <b:MonthAccessed>April</b:MonthAccessed>
    <b:DayAccessed>28</b:DayAccessed>
    <b:ProductionCompany>Bundeszentrale für politische Bildung</b:ProductionCompany>
    <b:RefOrder>1</b:RefOrder>
  </b:Source>
  <b:Source>
    <b:Tag>Nic22</b:Tag>
    <b:SourceType>InternetSite</b:SourceType>
    <b:Guid>{3067EE8E-EEA7-4996-B783-098F4B810D77}</b:Guid>
    <b:Author>
      <b:Author>
        <b:NameList>
          <b:Person>
            <b:Last>Dall</b:Last>
            <b:First>Nick</b:First>
          </b:Person>
        </b:NameList>
      </b:Author>
    </b:Author>
    <b:Title>Bondelswarts dying for their freedom</b:Title>
    <b:Year>2022</b:Year>
    <b:Month>Juni</b:Month>
    <b:Day>2</b:Day>
    <b:YearAccessed>2024</b:YearAccessed>
    <b:MonthAccessed>April</b:MonthAccessed>
    <b:DayAccessed>28</b:DayAccessed>
    <b:URL>https://www.businesslive.co.za/fm/features/2022-06-02-bondelswarts-dying-for-their-freedom/</b:URL>
    <b:ProductionCompany>Business Live - Financial Mail</b:ProductionCompany>
    <b:RefOrder>2</b:RefOrder>
  </b:Source>
  <b:Source>
    <b:Tag>Die02</b:Tag>
    <b:SourceType>InternetSite</b:SourceType>
    <b:Guid>{FCA10B02-5157-42FD-9D3A-4A015D2CC3CD}</b:Guid>
    <b:Author>
      <b:Author>
        <b:NameList>
          <b:Person>
            <b:Last>Hackl</b:Last>
            <b:First>Dietmar</b:First>
          </b:Person>
        </b:NameList>
      </b:Author>
    </b:Author>
    <b:Title>Namibia under South Africa</b:Title>
    <b:Year>2002</b:Year>
    <b:Month>Juli</b:Month>
    <b:Day>1</b:Day>
    <b:YearAccessed>2024</b:YearAccessed>
    <b:MonthAccessed>April</b:MonthAccessed>
    <b:DayAccessed>28</b:DayAccessed>
    <b:URL>https://www.namib.info/namibia/uk/history/namibia_under_south_africa/index.php</b:URL>
    <b:ProductionCompany>Namib Info</b:ProductionCompany>
    <b:RefOrder>3</b:RefOrder>
  </b:Source>
  <b:Source>
    <b:Tag>Ger22</b:Tag>
    <b:SourceType>InternetSite</b:SourceType>
    <b:Guid>{3FC50003-DA26-423E-A00D-857F8FEB8C1B}</b:Guid>
    <b:Author>
      <b:Author>
        <b:NameList>
          <b:Person>
            <b:Last>Toyka-Seid</b:Last>
            <b:First>Gerd</b:First>
            <b:Middle>Schneider / Christiane</b:Middle>
          </b:Person>
        </b:NameList>
      </b:Author>
    </b:Author>
    <b:Title>Apartheid</b:Title>
    <b:Year>2022</b:Year>
    <b:Month>Februar</b:Month>
    <b:Day>15</b:Day>
    <b:YearAccessed>2024</b:YearAccessed>
    <b:MonthAccessed>April</b:MonthAccessed>
    <b:DayAccessed>28</b:DayAccessed>
    <b:URL>https://www.bpb.de/kurz-knapp/lexika/das-junge-politik-lexikon/319831/apartheid/</b:URL>
    <b:ProductionCompany>Bundeszentrale für politische Bildung - kurz und knapp</b:ProductionCompany>
    <b:RefOrder>4</b:RefOrder>
  </b:Source>
  <b:Source>
    <b:Tag>Chr21</b:Tag>
    <b:SourceType>InternetSite</b:SourceType>
    <b:Guid>{CEFFC151-DB0E-4AB5-A4B6-9CD39693ABE2}</b:Guid>
    <b:Author>
      <b:Author>
        <b:NameList>
          <b:Person>
            <b:Last>Christiane Habermalz</b:Last>
            <b:First>Wulf</b:First>
            <b:Middle>Wilde, dlf, dkultur, dpa, afp, epd, kna, bpb</b:Middle>
          </b:Person>
        </b:NameList>
      </b:Author>
    </b:Author>
    <b:Title>Versöhnungsabkommen mit Namibia - Deutschland erkennt Kolonialverbrechen als Genozid an</b:Title>
    <b:Year>2021</b:Year>
    <b:Month>September</b:Month>
    <b:Day>21</b:Day>
    <b:YearAccessed>2024</b:YearAccessed>
    <b:MonthAccessed>April</b:MonthAccessed>
    <b:DayAccessed>28</b:DayAccessed>
    <b:URL>https://www.deutschlandfunk.de/versoehnungsabkommen-mit-namibia-deutschland-erkennt-100.html</b:URL>
    <b:ProductionCompany>Deutschlandfunk</b:ProductionCompany>
    <b:RefOrder>5</b:RefOrder>
  </b:Source>
  <b:Source>
    <b:Tag>Kat24</b:Tag>
    <b:SourceType>InternetSite</b:SourceType>
    <b:Guid>{87C5AE4B-AC9D-4BB8-9467-286E2EDCC26B}</b:Guid>
    <b:Author>
      <b:Author>
        <b:NameList>
          <b:Person>
            <b:Last>Maderhoner</b:Last>
            <b:First>Kathleen</b:First>
          </b:Person>
        </b:NameList>
      </b:Author>
    </b:Author>
    <b:Title>Seemannssonntag an Bord. Wer macht's?</b:Title>
    <b:Year>2024</b:Year>
    <b:Month>Januar</b:Month>
    <b:Day>16</b:Day>
    <b:YearAccessed>2024</b:YearAccessed>
    <b:MonthAccessed>April</b:MonthAccessed>
    <b:DayAccessed>28</b:DayAccessed>
    <b:URL>https://www.bundeswehr.de/de/organisation/streitkraeftebasis/aktuelles/seemannssonntag-an-bord-wer-machts-5726746</b:URL>
    <b:LCID>de-DE</b:LCID>
    <b:ProductionCompany>Bundeswehr</b:ProductionCompany>
    <b:RefOrder>6</b:RefOrder>
  </b:Source>
  <b:Source>
    <b:Tag>Zei23</b:Tag>
    <b:SourceType>InternetSite</b:SourceType>
    <b:Guid>{BABF9D8A-25B1-47FE-B5A6-5C37A300E7A2}</b:Guid>
    <b:Author>
      <b:Author>
        <b:NameList>
          <b:Person>
            <b:Last>Zeitklicks</b:Last>
          </b:Person>
        </b:NameList>
      </b:Author>
    </b:Author>
    <b:Title>Deutsch-Südwestafrika und die Gier nach Diamanten</b:Title>
    <b:ProductionCompany>Zeitklicks</b:ProductionCompany>
    <b:Year>2023</b:Year>
    <b:Month>September</b:Month>
    <b:Day>21</b:Day>
    <b:YearAccessed>2024</b:YearAccessed>
    <b:MonthAccessed>April</b:MonthAccessed>
    <b:DayAccessed>28</b:DayAccessed>
    <b:URL>https://www.zeitklicks.de/kaiserzeit/politik/kolonialpolitik/deutsch-suedwestafrika-und-die-gier-nach-diamanten</b:URL>
    <b:RefOrder>7</b:RefOrder>
  </b:Source>
  <b:Source>
    <b:Tag>Bun23</b:Tag>
    <b:SourceType>InternetSite</b:SourceType>
    <b:Guid>{5E6D4914-9041-4B42-973F-0A679076CAF4}</b:Guid>
    <b:Title>Bundesarchiev.de</b:Title>
    <b:Year>2023</b:Year>
    <b:ProductionCompany>Kirsten Mieves</b:ProductionCompany>
    <b:Month>-</b:Month>
    <b:Day>-</b:Day>
    <b:YearAccessed>2024</b:YearAccessed>
    <b:MonthAccessed>04</b:MonthAccessed>
    <b:DayAccessed>28</b:DayAccessed>
    <b:URL>https://www.bundesarchiv.de/DE/Content/Virtuelle-Ausstellungen/Der-Krieg-Gegen-Die-Herero-1904/der-krieg-gegen-die-herero-1904.html</b:URL>
    <b:RefOrder>8</b:RefOrder>
  </b:Source>
  <b:Source>
    <b:Tag>Exp12</b:Tag>
    <b:SourceType>InternetSite</b:SourceType>
    <b:Guid>{5535D486-30EA-40AC-9DD9-5F4ABBB46B8F}</b:Guid>
    <b:Title>Januar 1904: Herero-Aufstand in Deutsch-Südwestafrika</b:Title>
    <b:ProductionCompany>bpb</b:ProductionCompany>
    <b:Year>2014</b:Year>
    <b:Month>01</b:Month>
    <b:Day>10</b:Day>
    <b:YearAccessed>2024</b:YearAccessed>
    <b:MonthAccessed>04</b:MonthAccessed>
    <b:DayAccessed>28</b:DayAccessed>
    <b:URL>https://www.bpb.de/kurz-knapp/hintergrund-aktuell/176142/januar-1904-herero-aufstand-in-deutsch-suedwestafrika/#:~:text=Vor%20110%20Jahren%20lehnte%20sich,fielen%20dem%20Vernichtungsfeldzug%20zum%20Opfer.</b:URL>
    <b:Author>
      <b:Author>
        <b:NameList>
          <b:Person>
            <b:Last>Redaktion</b:Last>
            <b:First>bpb</b:First>
          </b:Person>
        </b:NameList>
      </b:Author>
    </b:Author>
    <b:RefOrder>9</b:RefOrder>
  </b:Source>
  <b:Source>
    <b:Tag>Jür12</b:Tag>
    <b:SourceType>InternetSite</b:SourceType>
    <b:Guid>{DEAEE98A-04F8-46AD-82DA-667647B6510D}</b:Guid>
    <b:Author>
      <b:Author>
        <b:NameList>
          <b:Person>
            <b:Last>Zimmerer</b:Last>
            <b:First>Jürgen</b:First>
          </b:Person>
        </b:NameList>
      </b:Author>
    </b:Author>
    <b:Title>Expansion und Herrschaft: Geschichte des europäischen und deutschen Kolonialismus</b:Title>
    <b:ProductionCompany>bpb</b:ProductionCompany>
    <b:Year>2012</b:Year>
    <b:Month>10</b:Month>
    <b:Day>23</b:Day>
    <b:YearAccessed>2024</b:YearAccessed>
    <b:MonthAccessed>04</b:MonthAccessed>
    <b:DayAccessed>28</b:DayAccessed>
    <b:URL>https://www.bpb.de/shop/zeitschriften/apuz/146973/expansion-und-herrschaft-geschichte-des-europaeischen-und-deutschen-kolonialismus/#page-2 </b:URL>
    <b:RefOrder>10</b:RefOrder>
  </b:Source>
  <b:Source>
    <b:Tag>Süddi</b:Tag>
    <b:SourceType>InternetSite</b:SourceType>
    <b:Guid>{6531A91E-BE08-46C0-B831-C0B45504A2A8}</b:Guid>
    <b:Author>
      <b:Author>
        <b:NameList>
          <b:Person>
            <b:Last>-</b:Last>
          </b:Person>
        </b:NameList>
      </b:Author>
    </b:Author>
    <b:Title>Südafrikanisches Mandatsgebiet - Apartheid um 1975</b:Title>
    <b:ProductionCompany>diercke</b:ProductionCompany>
    <b:Year>-</b:Year>
    <b:Month>-</b:Month>
    <b:Day>-</b:Day>
    <b:YearAccessed>2024</b:YearAccessed>
    <b:MonthAccessed>04</b:MonthAccessed>
    <b:DayAccessed>28</b:DayAccessed>
    <b:URL>https://diercke.de/content/s%C3%BCdafrikanisches-mandatsgebiet-apartheid-um-1975-978-3-14-100870-8-184-5-1</b:URL>
    <b:RefOrder>11</b:RefOrder>
  </b:Source>
  <b:Source>
    <b:Tag>18wh</b:Tag>
    <b:SourceType>InternetSite</b:SourceType>
    <b:Guid>{183463CA-9F63-4E4C-A09F-D0D4C6C83208}</b:Guid>
    <b:Author>
      <b:Author>
        <b:NameList>
          <b:Person>
            <b:Last>-</b:Last>
          </b:Person>
        </b:NameList>
      </b:Author>
    </b:Author>
    <b:ProductionCompany>whywar</b:ProductionCompany>
    <b:Year>2018</b:Year>
    <b:Month>01</b:Month>
    <b:Day>-</b:Day>
    <b:YearAccessed>2024</b:YearAccessed>
    <b:MonthAccessed>04</b:MonthAccessed>
    <b:DayAccessed>28</b:DayAccessed>
    <b:URL>https://www.whywar.at/ursachen/kulurell-religioese-aspekte/kultur-und-krieg/dominanzverhaeltnisse/rassismus-in-namibia/</b:URL>
    <b:RefOrder>12</b:RefOrder>
  </b:Source>
  <b:Source>
    <b:Tag>DWChronologie</b:Tag>
    <b:SourceType>InternetSite</b:SourceType>
    <b:Guid>{D4A5D137-011C-46F7-BA4E-EB52B3A13F51}</b:Guid>
    <b:Title>Die deutsche Kolonialgeschichte in Namibia</b:Title>
    <b:Year>2021</b:Year>
    <b:Author>
      <b:Author>
        <b:NameList>
          <b:Person>
            <b:Last>Welle</b:Last>
            <b:First>Deutsche</b:First>
          </b:Person>
        </b:NameList>
      </b:Author>
    </b:Author>
    <b:ProductionCompany>Deutsche Welle</b:ProductionCompany>
    <b:Month>09</b:Month>
    <b:Day>21</b:Day>
    <b:YearAccessed>2024</b:YearAccessed>
    <b:MonthAccessed>04</b:MonthAccessed>
    <b:DayAccessed>28</b:DayAccessed>
    <b:URL>https://www.dw.com/de/chronologie-deutschland-namibia-kolonie-geschichte/a-57763153</b:URL>
    <b:RefOrder>13</b:RefOrder>
  </b:Source>
  <b:Source>
    <b:Tag>Deu21</b:Tag>
    <b:SourceType>InternetSite</b:SourceType>
    <b:Guid>{DBB0E69A-CFB3-4B8B-AC43-494B3771DD28}</b:Guid>
    <b:Author>
      <b:Author>
        <b:NameList>
          <b:Person>
            <b:Last>Deutschlandfunk</b:Last>
          </b:Person>
        </b:NameList>
      </b:Author>
    </b:Author>
    <b:Title>Deutschland erkennt Kolonialverbrechen als Genozid an</b:Title>
    <b:ProductionCompany>Deutschlandfunk</b:ProductionCompany>
    <b:Year>2021</b:Year>
    <b:Month>09</b:Month>
    <b:Day>21</b:Day>
    <b:YearAccessed>2024</b:YearAccessed>
    <b:MonthAccessed>04</b:MonthAccessed>
    <b:DayAccessed>28</b:DayAccessed>
    <b:URL>https://www.deutschlandfunk.de/versoehnungsabkommen-mit-namibia-deutschland-erkennt-100.html#:~:text=Das%20Deutsche%20Reich%20war%20von,Volksgruppen%3A%20der%20Herero%20und%20Nama.</b:URL>
    <b:RefOrder>14</b:RefOrder>
  </b:Source>
  <b:Source>
    <b:Tag>Deu13</b:Tag>
    <b:SourceType>InternetSite</b:SourceType>
    <b:Guid>{B92C0B54-C045-4FEA-A1C1-165E170774D3}</b:Guid>
    <b:Author>
      <b:Author>
        <b:NameList>
          <b:Person>
            <b:Last>Welle</b:Last>
            <b:First>Deutsche</b:First>
          </b:Person>
        </b:NameList>
      </b:Author>
    </b:Author>
    <b:Title>Tagebuch bezeugt Völkermord in Afrika</b:Title>
    <b:ProductionCompany>Deutsche Welle</b:ProductionCompany>
    <b:Year>2013</b:Year>
    <b:Month>09</b:Month>
    <b:Day>23</b:Day>
    <b:YearAccessed>2024</b:YearAccessed>
    <b:MonthAccessed>04</b:MonthAccessed>
    <b:DayAccessed>28</b:DayAccessed>
    <b:URL>https://www.dw.com/de/tagebuch-bezeugt-v%C3%B6lkermord-in-afrika/a-17061129</b:URL>
    <b:RefOrder>15</b:RefOrder>
  </b:Source>
  <b:Source>
    <b:Tag>Bun22</b:Tag>
    <b:SourceType>InternetSite</b:SourceType>
    <b:Guid>{752B8439-73A2-4B58-940C-0647E1F8AE01}</b:Guid>
    <b:Author>
      <b:Author>
        <b:NameList>
          <b:Person>
            <b:Last>Entwicklung</b:Last>
            <b:First>Bundesministerium</b:First>
            <b:Middle>für wirtschaftliche Zusammenarbeit und</b:Middle>
          </b:Person>
        </b:NameList>
      </b:Author>
    </b:Author>
    <b:Title>Partnerland mit historischer Beziehung</b:Title>
    <b:ProductionCompany>Bundesministerium für wirtschaftliche Zusammenarbeit und Entwicklung</b:ProductionCompany>
    <b:Year>2022</b:Year>
    <b:Month>05</b:Month>
    <b:Day>27</b:Day>
    <b:YearAccessed>2024</b:YearAccessed>
    <b:MonthAccessed>04</b:MonthAccessed>
    <b:DayAccessed>28</b:DayAccessed>
    <b:URL>https://www.bmz.de/de/laender/namibia#:~:text=Viele%20der%20%C3%9Cberlebenden%20mussten%20Zwangsarbeit,Vers%C3%B6hnungsdialog%20zur%20Aufarbeitung%20der%20Gr%C3%A4ueltaten.</b:URL>
    <b:RefOrder>16</b:RefOrder>
  </b:Source>
  <b:Source>
    <b:Tag>Yus16</b:Tag>
    <b:SourceType>InternetSite</b:SourceType>
    <b:Guid>{6979420D-CD8D-458F-B516-8AAB446BCCC0}</b:Guid>
    <b:Author>
      <b:Author>
        <b:NameList>
          <b:Person>
            <b:Last>Inanc</b:Last>
            <b:First>Yusuf</b:First>
            <b:Middle>Selman</b:Middle>
          </b:Person>
        </b:NameList>
      </b:Author>
    </b:Author>
    <b:Title>Namibia: Story of massacred, silenced and impoverished people</b:Title>
    <b:ProductionCompany>Daily Sabah</b:ProductionCompany>
    <b:Year>2016</b:Year>
    <b:Month>07</b:Month>
    <b:Day>24</b:Day>
    <b:YearAccessed>2024</b:YearAccessed>
    <b:MonthAccessed>04</b:MonthAccessed>
    <b:DayAccessed>30</b:DayAccessed>
    <b:URL>https://www.dailysabah.com/africa/2016/07/24/namibia-story-of-massacred-silenced-and-impoverished-people</b:URL>
    <b:RefOrder>17</b:RefOrder>
  </b:Source>
</b:Sources>
</file>

<file path=customXml/itemProps1.xml><?xml version="1.0" encoding="utf-8"?>
<ds:datastoreItem xmlns:ds="http://schemas.openxmlformats.org/officeDocument/2006/customXml" ds:itemID="{AE60B199-1AE3-4ECD-A6FF-728953137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3031</Words>
  <Characters>19097</Characters>
  <Application>Microsoft Office Word</Application>
  <DocSecurity>0</DocSecurity>
  <Lines>159</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Hornhuber</dc:creator>
  <cp:keywords/>
  <dc:description/>
  <cp:lastModifiedBy>Caroline Hornhuber</cp:lastModifiedBy>
  <cp:revision>7</cp:revision>
  <cp:lastPrinted>2024-05-01T19:22:00Z</cp:lastPrinted>
  <dcterms:created xsi:type="dcterms:W3CDTF">2024-05-01T19:22:00Z</dcterms:created>
  <dcterms:modified xsi:type="dcterms:W3CDTF">2024-05-12T14:49:00Z</dcterms:modified>
</cp:coreProperties>
</file>