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3p0aq5npji0" w:id="0"/>
      <w:bookmarkEnd w:id="0"/>
      <w:r w:rsidDel="00000000" w:rsidR="00000000" w:rsidRPr="00000000">
        <w:rPr>
          <w:rtl w:val="0"/>
        </w:rPr>
        <w:t xml:space="preserve">Research Question 1: Data Summarization and Descriptive Statistics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firstLine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Key demographic or outcome variables in the CSCS dataset (ex. age, income level, education, specific scores).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Summarize measures of central tendency and variability for chosen variables, calculating means, medians, standard deviations, and generating frequency distributions.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Possible Results</w:t>
      </w:r>
      <w:r w:rsidDel="00000000" w:rsidR="00000000" w:rsidRPr="00000000">
        <w:rPr>
          <w:rtl w:val="0"/>
        </w:rPr>
        <w:t xml:space="preserve">: Could reveal demographic group differences or illustrate score distributions across categories.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Provides foundational data distribution knowledge, guiding further analysis by identifying patterns and outliers that may need in-depth exploration.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9sxll6253smg" w:id="1"/>
      <w:bookmarkEnd w:id="1"/>
      <w:r w:rsidDel="00000000" w:rsidR="00000000" w:rsidRPr="00000000">
        <w:rPr>
          <w:rtl w:val="0"/>
        </w:rPr>
        <w:t xml:space="preserve">Research Question 2: Confidence Intervals and Hypothesis Testing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firstLine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Performance metrics or scores by specific subgroups (ex. education level or income bracket).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Calculate confidence intervals for subgroup means to explore variability, followed by hypothesis testing (ex. t-tests) to assess if differences between subgroups are statistically significant.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Possible Results</w:t>
      </w:r>
      <w:r w:rsidDel="00000000" w:rsidR="00000000" w:rsidRPr="00000000">
        <w:rPr>
          <w:rtl w:val="0"/>
        </w:rPr>
        <w:t xml:space="preserve">: May indicate significant differences across subgroups, highlighting potential demographic or socioeconomic impacts on performance.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Helps explore data equity or disparities, relevant for understanding accessibility or outcome-based objectives.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ldny3y9brodx" w:id="2"/>
      <w:bookmarkEnd w:id="2"/>
      <w:r w:rsidDel="00000000" w:rsidR="00000000" w:rsidRPr="00000000">
        <w:rPr>
          <w:rtl w:val="0"/>
        </w:rPr>
        <w:t xml:space="preserve">Research Question 3: Simple Linear Regression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firstLine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Choose a predictor and outcome variable (ex. income level predicting test scores or academic performance).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Conduct simple linear regression to examine the relationship between the predictor and outcome. Analyze the regression coefficient and p-value for significance.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Possible Results</w:t>
      </w:r>
      <w:r w:rsidDel="00000000" w:rsidR="00000000" w:rsidRPr="00000000">
        <w:rPr>
          <w:rtl w:val="0"/>
        </w:rPr>
        <w:t xml:space="preserve">: Potentially reveals significant positive or negative correlations, showing how predictor changes might impact performance.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Offers insights into potential causal relationships, essential for formulating recommendations or interventions grounded in dataset findings.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ind w:left="0" w:firstLine="0"/>
    </w:pPr>
    <w:rPr>
      <w:b w:val="1"/>
      <w:i w:val="1"/>
      <w:sz w:val="44"/>
      <w:szCs w:val="4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