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QMS-MAN-002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불량·규격 이탈 대응 절차</w:t>
      </w:r>
    </w:p>
    <w:p>
      <w:pPr>
        <w:jc w:val="center"/>
      </w:pPr>
      <w:r>
        <w:rPr>
          <w:color w:val="606060"/>
          <w:sz w:val="20"/>
        </w:rPr>
        <w:t>양극재 품질관리 시스템(QMS) ·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</w:t>
      </w:r>
    </w:p>
    <w:p>
      <w:r>
        <w:t>불량 판정 또는 규격 이탈 LOT 발생 시의 표준 대응 절차를 정한다.</w:t>
      </w:r>
    </w:p>
    <w:p>
      <w:pPr>
        <w:spacing w:before="200"/>
      </w:pPr>
      <w:r>
        <w:rPr>
          <w:b/>
          <w:color w:val="1F3864"/>
          <w:sz w:val="24"/>
        </w:rPr>
        <w:t>2. 대응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단계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명칭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식별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해당 LOT 식별 및 출하 보류 전환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격리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동일 조건(동일 설비·동일 원료 LOT) 생산분 함께 식별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 조사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공정 이력(소성온도·습도·공정시간·배합 기록) 역추적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재검사 / 재작업 / 폐기 중 처분 결정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이상 보고서 기록 및 재발 방지 대책 등록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PFMEA 연계</w:t>
      </w:r>
    </w:p>
    <w:p>
      <w:pPr>
        <w:pStyle w:val="ListBullet"/>
      </w:pPr>
      <w:r>
        <w:t>반복 발생 원인 항목은 PFMEA 검토자료에 위험 요인으로 등재한다.</w:t>
      </w:r>
    </w:p>
    <w:p>
      <w:pPr>
        <w:pStyle w:val="ListBullet"/>
      </w:pPr>
      <w:r>
        <w:t>위험 요인별 발생도·심각도·검출도를 재평가하고 관리 계획을 갱신한다.</w:t>
      </w:r>
    </w:p>
    <w:p>
      <w:pPr>
        <w:pStyle w:val="ListBullet"/>
      </w:pPr>
      <w:r>
        <w:t>예측 시스템의 상위 위험 요인(변수 중요도)은 PFMEA 검토 시 참고 자료로 활용한다.</w:t>
      </w:r>
    </w:p>
    <w:p/>
    <w:p>
      <w:r>
        <w:rPr>
          <w:color w:val="808080"/>
          <w:sz w:val="16"/>
        </w:rPr>
        <w:t>본 문서는 사내 내부용이며 외부 반출을 금지한다. 문서의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