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QMS-SOP-002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소성 공정시간 관리 SOP</w:t>
      </w:r>
    </w:p>
    <w:p>
      <w:pPr>
        <w:jc w:val="center"/>
      </w:pPr>
      <w:r>
        <w:rPr>
          <w:color w:val="606060"/>
          <w:sz w:val="20"/>
        </w:rPr>
        <w:t>양극재 품질관리 시스템(QMS) ·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소성 공정시간의 표준과 허용 범위를 정하여 반응 완결도와 품질 편차를 관리한다.</w:t>
      </w:r>
    </w:p>
    <w:p>
      <w:pPr>
        <w:spacing w:before="200"/>
      </w:pPr>
      <w:r>
        <w:rPr>
          <w:b/>
          <w:color w:val="1F3864"/>
          <w:sz w:val="24"/>
        </w:rPr>
        <w:t>2. 표준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표준 공정시간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72분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관리규격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40 ~ 104분 (관리규격 일람 참조)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관리 지침</w:t>
      </w:r>
    </w:p>
    <w:p>
      <w:pPr>
        <w:pStyle w:val="ListBullet"/>
      </w:pPr>
      <w:r>
        <w:t>공정시간이 표준(72분)에서 크게 벗어나면 짧은 쪽·긴 쪽 모두 품질 위험이 커진다. 과소 시 반응 미완결로 잔류 리튬 상승, 과다 시 과소성으로 입자 특성 변화 우려.</w:t>
      </w:r>
    </w:p>
    <w:p>
      <w:pPr>
        <w:pStyle w:val="ListBullet"/>
      </w:pPr>
      <w:r>
        <w:t>공정시간 변경은 소성온도와 연동하여 검토한다(고온 단시간·저온 장시간 트레이드오프).</w:t>
      </w:r>
    </w:p>
    <w:p>
      <w:pPr>
        <w:spacing w:before="200"/>
      </w:pPr>
      <w:r>
        <w:rPr>
          <w:b/>
          <w:color w:val="1F3864"/>
          <w:sz w:val="24"/>
        </w:rPr>
        <w:t>4. 기록</w:t>
      </w:r>
    </w:p>
    <w:p>
      <w:pPr>
        <w:pStyle w:val="ListBullet"/>
      </w:pPr>
      <w:r>
        <w:t>LOT별 실공정시간을 공정 실적에 기록한다.</w:t>
      </w:r>
    </w:p>
    <w:p>
      <w:pPr>
        <w:pStyle w:val="ListBullet"/>
      </w:pPr>
      <w:r>
        <w:t>표준 대비 ±20분 이상 이탈한 LOT은 사유를 기재한다.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