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QMS-ACT-002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배합비 재검토 절차</w:t>
      </w:r>
    </w:p>
    <w:p>
      <w:pPr>
        <w:jc w:val="center"/>
      </w:pPr>
      <w:r>
        <w:rPr>
          <w:color w:val="606060"/>
          <w:sz w:val="20"/>
        </w:rPr>
        <w:t>양극재 품질관리 시스템(QMS) · 조치 절차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목적·발동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발동 조건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잔류 리튬 실측·예측이 상한(4,000ppm) 근접·초과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리튬 투입비가 표준 범위 이탈 LOT 발견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원료(리튬염) 로트 변경 후 첫 생산 구간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계량 기록 대조, 작업 재교육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저울 교정·수리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원인 판정, 표준 개정 승인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작업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포인트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계량 기록 대조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해당 LOT 계량 실적 vs 표준 배합표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저울 교정 확인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교정 유효기간·일일 점검 기록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Li/Me 비 재계산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원료 성적서의 순도·수분 반영 — 명목 투입비와 실효 투입비는 원료 순도에 따라 다르다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 판정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계량 오류/저울 이상/원료 순도 변동/표준 부적정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재교육/교정·수리/배합 보정/표준 개정(품질 승인 필수)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완료 기준</w:t>
      </w:r>
    </w:p>
    <w:p>
      <w:pPr>
        <w:pStyle w:val="ListBullet"/>
      </w:pPr>
      <w:r>
        <w:t>원인 판정·조치 완료</w:t>
      </w:r>
    </w:p>
    <w:p>
      <w:pPr>
        <w:pStyle w:val="ListBullet"/>
      </w:pPr>
      <w:r>
        <w:t>조치 후 생산 3 LOT의 잔류 리튬 실측 정상</w:t>
      </w:r>
    </w:p>
    <w:p>
      <w:pPr>
        <w:spacing w:before="200"/>
      </w:pPr>
      <w:r>
        <w:rPr>
          <w:b/>
          <w:color w:val="1F3864"/>
          <w:sz w:val="24"/>
        </w:rPr>
        <w:t>4. 현장 참고</w:t>
      </w:r>
    </w:p>
    <w:p>
      <w:r>
        <w:t>배합 이상은 잔류 리튬으로 나타나기까지 소성·측정 시차가 있다 — 조사 범위는 발생 LOT보다 하루 앞까지 잡는다.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