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QMS-RULE-003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LOT 검사 수준 운영 규정</w:t>
      </w:r>
    </w:p>
    <w:p>
      <w:pPr>
        <w:jc w:val="center"/>
      </w:pPr>
      <w:r>
        <w:rPr>
          <w:color w:val="606060"/>
          <w:sz w:val="20"/>
        </w:rPr>
        <w:t>양극재 품질관리 시스템(QMS) · 규정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LOT 위험 수준에 따른 검사 강도(검사방안)의 종류와 운영 기준을 정한다.</w:t>
      </w:r>
    </w:p>
    <w:p>
      <w:pPr>
        <w:spacing w:before="200"/>
      </w:pPr>
      <w:r>
        <w:rPr>
          <w:b/>
          <w:color w:val="1F3864"/>
          <w:sz w:val="24"/>
        </w:rPr>
        <w:t>2. 검사 수준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수준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명칭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전수검사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해당 LOT 전량 검사. 출하 보류 상태에서 수행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샘플링 강화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표준 대비 2배 샘플링. 설비 점검 병행 가능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표준 샘플링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표준 검사 계획에 따른 샘플링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운영 원칙</w:t>
      </w:r>
    </w:p>
    <w:p>
      <w:pPr>
        <w:pStyle w:val="ListBullet"/>
      </w:pPr>
      <w:r>
        <w:t>검사 수준은 LOT 위험등급(A/B/C)에 따라 지정한다. 등급 판정 기준은 품질팀이 별도 제정·개정한다.</w:t>
      </w:r>
    </w:p>
    <w:p>
      <w:pPr>
        <w:pStyle w:val="ListBullet"/>
      </w:pPr>
      <w:r>
        <w:t>복수 기준에 해당하는 경우 더 엄격한 검사 수준을 적용한다(엄격 우선).</w:t>
      </w:r>
    </w:p>
    <w:p>
      <w:pPr>
        <w:pStyle w:val="ListBullet"/>
      </w:pPr>
      <w:r>
        <w:t>전수검사는 비용이 크므로 위험등급 A의 판정 기준은 일일 검사 처리 능력을 고려하여 설정한다.</w:t>
      </w:r>
    </w:p>
    <w:p>
      <w:pPr>
        <w:pStyle w:val="ListBullet"/>
      </w:pPr>
      <w:r>
        <w:t>검사 결과는 LOT 실측 성적에 기록하고 위험 예측값과의 비교에 활용한다.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