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QMS-SOP-003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측정·샘플링 표준 SOP</w:t>
      </w:r>
    </w:p>
    <w:p>
      <w:pPr>
        <w:jc w:val="center"/>
      </w:pPr>
      <w:r>
        <w:rPr>
          <w:color w:val="606060"/>
          <w:sz w:val="20"/>
        </w:rPr>
        <w:t>양극재 품질관리 시스템(QMS) · SOP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목적·적용 범위</w:t>
      </w:r>
    </w:p>
    <w:p>
      <w:r>
        <w:t>LOT 품질 판정에 사용되는 측정의 샘플 채취·전처리·측정 조건을 표준화한다. 측정이 흔들리면 그 위의 모든 판단(SPC·Cpk·예측 검증)이 함께 흔들린다.</w:t>
      </w:r>
    </w:p>
    <w:p>
      <w:pPr>
        <w:spacing w:before="200"/>
      </w:pPr>
      <w:r>
        <w:rPr>
          <w:b/>
          <w:color w:val="1F3864"/>
          <w:sz w:val="24"/>
        </w:rPr>
        <w:t>2. 샘플 채취 공통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항목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채취 시점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LOT 생산 완료 직후, 지정 채취구에서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채취량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항목별 표준 채취량 준수, 부족분 재채취 금지(재채취는 신규 채취로)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식별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LOT id·채취 시각·채취자 즉시 기입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보관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채취 후 밀폐 용기, 드라이룸 내 보관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항목별 측정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방법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핵심 조건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입도(D50/D90)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레이저 회절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초음파 분산 시간 준수, 굴절률 설정 고정 — 분산 불충분이 가짜 이상의 단골 원인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금속 이물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자성 이물 측정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채취·전처리 오염 주의, 이상 시 재측정 1회 후 판정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잔류 리튬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적정(titration)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채취 후 신속 분석(대기 중 수분 반응 방지), 소요 수일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칼피셔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채취 즉시 밀폐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측정 이상 시 처리</w:t>
      </w:r>
    </w:p>
    <w:p>
      <w:pPr>
        <w:pStyle w:val="ListBullet"/>
      </w:pPr>
      <w:r>
        <w:t>측정값이 관리 이력과 크게 다르면 공정 조사 전에 재측정으로 측정 이상을 먼저 배제한다.</w:t>
      </w:r>
    </w:p>
    <w:p>
      <w:pPr>
        <w:pStyle w:val="ListBullet"/>
      </w:pPr>
      <w:r>
        <w:t>재측정 값도 이상이면 그때부터 공정 이상으로 전환해 조사한다 — 순서를 지킨다.</w:t>
      </w:r>
    </w:p>
    <w:p>
      <w:pPr>
        <w:pStyle w:val="ListBullet"/>
      </w:pPr>
      <w:r>
        <w:t>측정기 교정 주기를 초과한 상태의 측정값은 판정에 사용하지 않는다.</w:t>
      </w:r>
    </w:p>
    <w:p>
      <w:pPr>
        <w:spacing w:before="200"/>
      </w:pPr>
      <w:r>
        <w:rPr>
          <w:b/>
          <w:color w:val="1F3864"/>
          <w:sz w:val="24"/>
        </w:rPr>
        <w:t>5. 기록</w:t>
      </w:r>
    </w:p>
    <w:p>
      <w:r>
        <w:t>측정 원시값·측정자·측정기·측정 시각을 기록한다. 실측 결과는 LOT 실측 성적(lot_results)에 기재하며, 측정 전 상태는 공란(NULL)으로 둔다 — 측정 안 된 것을 측정된 것처럼 기재하지 않는다.</w:t>
      </w:r>
    </w:p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