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문서번호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제정일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보안등급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QMS-MAN-001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사내한(Internal)</w:t>
            </w:r>
          </w:p>
        </w:tc>
      </w:tr>
    </w:tbl>
    <w:p/>
    <w:p>
      <w:pPr>
        <w:jc w:val="center"/>
      </w:pPr>
      <w:r>
        <w:rPr>
          <w:b/>
          <w:color w:val="1F3864"/>
          <w:sz w:val="36"/>
        </w:rPr>
        <w:t>SPC 관리도 운영 매뉴얼</w:t>
      </w:r>
    </w:p>
    <w:p>
      <w:pPr>
        <w:jc w:val="center"/>
      </w:pPr>
      <w:r>
        <w:rPr>
          <w:color w:val="606060"/>
          <w:sz w:val="20"/>
        </w:rPr>
        <w:t>양극재 품질관리 시스템(QMS) · 매뉴얼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작성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검토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개정일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 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최초 제정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1. 목적</w:t>
      </w:r>
    </w:p>
    <w:p>
      <w:r>
        <w:t>공정변수의 이상 변동(사건)을 조기에 탐지하기 위한 관리도 운영 규칙을 정한다.</w:t>
      </w:r>
    </w:p>
    <w:p>
      <w:pPr>
        <w:spacing w:before="200"/>
      </w:pPr>
      <w:r>
        <w:rPr>
          <w:b/>
          <w:color w:val="1F3864"/>
          <w:sz w:val="24"/>
        </w:rPr>
        <w:t>2. 관리한계 산출 규칙</w:t>
      </w:r>
    </w:p>
    <w:p>
      <w:pPr>
        <w:pStyle w:val="ListBullet"/>
      </w:pPr>
      <w:r>
        <w:t>관리한계(UCL/LCL)는 기준 구간 데이터의 평균 ± 3σ로 계산한다.</w:t>
      </w:r>
    </w:p>
    <w:p>
      <w:pPr>
        <w:pStyle w:val="ListBullet"/>
      </w:pPr>
      <w:r>
        <w:t>기준 구간은 공정이 안정적이라고 판단되는 과거 구간에서 선정한다.</w:t>
      </w:r>
    </w:p>
    <w:p>
      <w:pPr>
        <w:pStyle w:val="ListBullet"/>
      </w:pPr>
      <w:r>
        <w:t>관리한계는 규격한계(USL/LSL)와 무관하게 데이터에서 계산되는 값이며, 두 한계를 혼용하지 않는다.</w:t>
      </w:r>
    </w:p>
    <w:p>
      <w:pPr>
        <w:spacing w:before="200"/>
      </w:pPr>
      <w:r>
        <w:rPr>
          <w:b/>
          <w:color w:val="1F3864"/>
          <w:sz w:val="24"/>
        </w:rPr>
        <w:t>3. 판정 및 조치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상황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판정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조치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1점이라도 관리한계 이탈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이상(사건)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원인 조사 개시, 해당 설비 LOT 샘플링 강화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관리한계 이내·규격 이탈 지속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공정능력 문제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공정능력 평가 규정에 따른 개선 과제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4. 유의사항</w:t>
      </w:r>
    </w:p>
    <w:p>
      <w:r>
        <w:t>공정이 관리 상태(안정)라는 것은 규격을 만족한다는 뜻이 아니다. 안정 여부(사건)는 관리도로, 규격 만족 능력(체질)은 Cpk로 각각 평가한다.</w:t>
      </w:r>
    </w:p>
    <w:p/>
    <w:p>
      <w:r>
        <w:rPr>
          <w:color w:val="808080"/>
          <w:sz w:val="16"/>
        </w:rPr>
        <w:t>본 문서는 사내 내부용이며 외부 반출을 금지한다. 문서의 최신본 여부는 문서관리 시스템에서 확인한다.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