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QMS-RULE-001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소성공정 관리규격 일람</w:t>
      </w:r>
    </w:p>
    <w:p>
      <w:pPr>
        <w:jc w:val="center"/>
      </w:pPr>
      <w:r>
        <w:rPr>
          <w:color w:val="606060"/>
          <w:sz w:val="20"/>
        </w:rPr>
        <w:t>양극재 품질관리 시스템(QMS) · 규정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소성공정 관리 항목별 규격 상·하한(USL/LSL)을 일람으로 제공한다. 공정능력(Cpk) 산출과 LOT 판정의 기준 문서로 사용한다.</w:t>
      </w:r>
    </w:p>
    <w:p>
      <w:pPr>
        <w:spacing w:before="200"/>
      </w:pPr>
      <w:r>
        <w:rPr>
          <w:b/>
          <w:color w:val="1F3864"/>
          <w:sz w:val="24"/>
        </w:rPr>
        <w:t>2. 적용 범위</w:t>
      </w:r>
    </w:p>
    <w:p>
      <w:r>
        <w:t>양극재 소성공정의 전 생산 LOT 및 관련 품질 평가 업무에 적용한다.</w:t>
      </w:r>
    </w:p>
    <w:p>
      <w:pPr>
        <w:spacing w:before="200"/>
      </w:pPr>
      <w:r>
        <w:rPr>
          <w:b/>
          <w:color w:val="1F3864"/>
          <w:sz w:val="24"/>
        </w:rPr>
        <w:t>3. 관리규격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LSL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USL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단위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소성온도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권장 목표 800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습도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드라이룸 관리 항목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공정시간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표준 72분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금속 이물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ratio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단측 상한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입도 D50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μm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고객 제품규격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잔류 리튬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ppm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단측 상한 · 고객 규격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규격의 성격</w:t>
      </w:r>
    </w:p>
    <w:p>
      <w:pPr>
        <w:pStyle w:val="ListBullet"/>
      </w:pPr>
      <w:r>
        <w:t>규격은 고객 협의 및 공정 설계 시 확정되며, 데이터로부터 계산하지 않는다.</w:t>
      </w:r>
    </w:p>
    <w:p>
      <w:pPr>
        <w:pStyle w:val="ListBullet"/>
      </w:pPr>
      <w:r>
        <w:t>단측 규격 항목(금속 이물, 잔류 리튬)은 상한만 관리하며 하한을 임의로 설정하지 않는다.</w:t>
      </w:r>
    </w:p>
    <w:p>
      <w:pPr>
        <w:pStyle w:val="ListBullet"/>
      </w:pPr>
      <w:r>
        <w:t>규격 개정은 품질보증 부서 승인 후 본 문서의 개정 이력에 반영한다.</w:t>
      </w:r>
    </w:p>
    <w:p>
      <w:pPr>
        <w:spacing w:before="200"/>
      </w:pPr>
      <w:r>
        <w:rPr>
          <w:b/>
          <w:color w:val="1F3864"/>
          <w:sz w:val="24"/>
        </w:rPr>
        <w:t>5. 관련 문서</w:t>
      </w:r>
    </w:p>
    <w:p>
      <w:r>
        <w:t>SPC 관리도 운영 매뉴얼(QMS-MAN-001), 공정능력 평가 규정(QMS-RULE-002)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