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резюме"/>
    <w:p>
      <w:pPr>
        <w:pStyle w:val="Heading1"/>
      </w:pPr>
      <w:r>
        <w:t xml:space="preserve">Резюме</w:t>
      </w:r>
    </w:p>
    <w:p>
      <w:pPr>
        <w:pStyle w:val="FirstParagraph"/>
      </w:pPr>
      <w:r>
        <w:t xml:space="preserve">Современные рекомендации по постквантовой криптографии требуют перехода на новые алгоритмы, устойчивые к атакам квантовых компьютеров. Стандарты NIST (FIPS 203–205) одобрили использование алгоритмов CRYSTALS‑Kyber (алгоритм KEM для шифрования), CRYSTALS‑Dilithium и SPHINCS+ (алгоритмы цифровой подписи), а также готовятся стандарты для FALCON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Google устанавливает задачи перевода систем на PQC до 2029 года</w:t>
      </w:r>
      <w:hyperlink r:id="rId23">
        <w:r>
          <w:rPr>
            <w:rStyle w:val="Hyperlink"/>
          </w:rPr>
          <w:t xml:space="preserve">[3]</w:t>
        </w:r>
      </w:hyperlink>
      <w:r>
        <w:t xml:space="preserve">, а IETF и ETSI разрабатывают руководства и рекомендации для плавной миграции (например, IETF описывает гибридные профили TLS</w:t>
      </w:r>
      <w:hyperlink r:id="rId24">
        <w:r>
          <w:rPr>
            <w:rStyle w:val="Hyperlink"/>
          </w:rPr>
          <w:t xml:space="preserve">[4]</w:t>
        </w:r>
      </w:hyperlink>
      <w:r>
        <w:t xml:space="preserve">, ETSI выпустил технический отчёт с рекомендациями по миграции TR 103 619</w:t>
      </w:r>
      <w:hyperlink r:id="rId25">
        <w:r>
          <w:rPr>
            <w:rStyle w:val="Hyperlink"/>
          </w:rPr>
          <w:t xml:space="preserve">[5]</w:t>
        </w:r>
      </w:hyperlink>
      <w:r>
        <w:t xml:space="preserve">).</w:t>
      </w:r>
    </w:p>
    <w:p>
      <w:pPr>
        <w:pStyle w:val="BodyText"/>
      </w:pPr>
      <w:r>
        <w:t xml:space="preserve">Для программ «умного дома» на Java рекомендуется использовать гибридный подход: сочетание классических и постквантовых схем. Например, ключевой обмен можно выполнять одновременно по ECDH (X25519) и Kyber (ML‑KEM), а аутентификацию – по ECDSA (или Ed25519) и Dilithium (ML‑DSA)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Такой подход сохраняет совместимость с существующими протоколами TLS/MQTT/CoAP и обеспечивает надёжность на переходном этапе. В качестве альтернатив для крайне ограниченных устройств можно использовать облегчённые варианты (пониженные параметры Kyber512/Dilithium-4), или в случае невозможности внедрения — предустановленные симметричные ключи с регулярной заменой.</w:t>
      </w:r>
    </w:p>
    <w:p>
      <w:pPr>
        <w:pStyle w:val="BodyText"/>
      </w:pPr>
      <w:r>
        <w:t xml:space="preserve">Ниже приведены подробные сравнения алгоритмов, варианты интеграции и рекомендации.</w:t>
      </w:r>
    </w:p>
    <w:bookmarkStart w:id="29" w:name="текущие-стандарты-и-рекомендации"/>
    <w:p>
      <w:pPr>
        <w:pStyle w:val="Heading2"/>
      </w:pPr>
      <w:r>
        <w:t xml:space="preserve">Текущие стандарты и рекомендации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NIST.</w:t>
      </w:r>
      <w:r>
        <w:t xml:space="preserve"> </w:t>
      </w:r>
      <w:r>
        <w:t xml:space="preserve">В июле 2022 г. NIST завершил третий раунд стандартизации PQC, выбрав алгоритмы</w:t>
      </w:r>
      <w:r>
        <w:t xml:space="preserve"> </w:t>
      </w:r>
      <w:r>
        <w:rPr>
          <w:i/>
          <w:iCs/>
        </w:rPr>
        <w:t xml:space="preserve">CRYSTALS‑Kyber</w:t>
      </w:r>
      <w:r>
        <w:t xml:space="preserve">,</w:t>
      </w:r>
      <w:r>
        <w:t xml:space="preserve"> </w:t>
      </w:r>
      <w:r>
        <w:rPr>
          <w:i/>
          <w:iCs/>
        </w:rPr>
        <w:t xml:space="preserve">CRYSTALS‑Dilithium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SPHINCS+</w:t>
      </w:r>
      <w:r>
        <w:t xml:space="preserve">, которые легли в основу FIPS 203–205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Эти стандарты (официально ML‑KEM, ML‑DSA, SLH‑DSA) задают новые имена алгоритмам (Kyber→ML‑KEM, Dilithium→ML‑DSA, SPHINCS+→SLH‑DSA). Стандарт FALCON (FN‑DSA) планируется в 2024/2025 гг. NIST также допускает «гибридный режим» – одновременное использование классических и новых алгоритмов без потери FIPS-совместимости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Google.</w:t>
      </w:r>
      <w:r>
        <w:t xml:space="preserve"> </w:t>
      </w:r>
      <w:r>
        <w:t xml:space="preserve">Google объявил о стратегии миграции на постквантовую криптографию к 2029 году</w:t>
      </w:r>
      <w:hyperlink r:id="rId23">
        <w:r>
          <w:rPr>
            <w:rStyle w:val="Hyperlink"/>
          </w:rPr>
          <w:t xml:space="preserve">[3]</w:t>
        </w:r>
      </w:hyperlink>
      <w:r>
        <w:t xml:space="preserve">. Компания уже интегрирует PQC в свои продукты: например, Android 17 будет поддерживать подписи ML‑DSA (Dilithium) согласно NIST</w:t>
      </w:r>
      <w:hyperlink r:id="rId28">
        <w:r>
          <w:rPr>
            <w:rStyle w:val="Hyperlink"/>
          </w:rPr>
          <w:t xml:space="preserve">[8]</w:t>
        </w:r>
      </w:hyperlink>
      <w:r>
        <w:t xml:space="preserve">. Библиотека Google Tink постепенно добавляет поддержку PQC: ML‑DSA и SLH‑DSA уже реализованы в C++/Go (Java в работе), а алгоритмы KEM (Kyber) готовятся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IETF.</w:t>
      </w:r>
      <w:r>
        <w:t xml:space="preserve"> </w:t>
      </w:r>
      <w:r>
        <w:t xml:space="preserve">Рабочая группа IETF (приложения TLS) опубликовала драфт-рекомендации по «TLS-based Applications», в котором подчёркиваются особенности перехода к PQC и предлагаются гибридные профили ключевых обменов и сертификатов (например, одновременное применение X25519 и Kyber)</w:t>
      </w:r>
      <w:hyperlink r:id="rId24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ETSI.</w:t>
      </w:r>
      <w:r>
        <w:t xml:space="preserve"> </w:t>
      </w:r>
      <w:r>
        <w:t xml:space="preserve">В рамках ETSI создана рабочая группа QSC (Quantum Safe Cryptography). Издан технический отчёт TR 103 619 с рекомендациями по стратегиям миграции на квантово-стойкие алгоритмы</w:t>
      </w:r>
      <w:hyperlink r:id="rId25">
        <w:r>
          <w:rPr>
            <w:rStyle w:val="Hyperlink"/>
          </w:rPr>
          <w:t xml:space="preserve">[5]</w:t>
        </w:r>
      </w:hyperlink>
      <w:r>
        <w:t xml:space="preserve">. ETSI акцентирует внимание на практических аспектах: расширяемых архитектурах, оценке производительности, учёте затрат на замену технологий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9"/>
    <w:bookmarkStart w:id="33" w:name="рекомендуемые-алгоритмы"/>
    <w:p>
      <w:pPr>
        <w:pStyle w:val="Heading2"/>
      </w:pPr>
      <w:r>
        <w:t xml:space="preserve">Рекомендуемые алгоритмы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CRYSTALS‑Kyber (ML‑KEM).</w:t>
      </w:r>
      <w:r>
        <w:t xml:space="preserve"> </w:t>
      </w:r>
      <w:r>
        <w:t xml:space="preserve">Латисный KEM для шифрования ключей. Выбран NIST в качестве основного алгоритма обмена ключами</w:t>
      </w:r>
      <w:hyperlink r:id="rId21">
        <w:r>
          <w:rPr>
            <w:rStyle w:val="Hyperlink"/>
          </w:rPr>
          <w:t xml:space="preserve">[1]</w:t>
        </w:r>
      </w:hyperlink>
      <w:r>
        <w:t xml:space="preserve">. Малый размер ключей/шишротекстов (~1–1.5 КБ) и высокая скорость делают его пригодным даже для IoT</w:t>
      </w:r>
      <w:hyperlink r:id="rId30">
        <w:r>
          <w:rPr>
            <w:rStyle w:val="Hyperlink"/>
          </w:rPr>
          <w:t xml:space="preserve">[9]</w:t>
        </w:r>
      </w:hyperlink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CRYSTALS‑Dilithium (ML‑DSA).</w:t>
      </w:r>
      <w:r>
        <w:t xml:space="preserve"> </w:t>
      </w:r>
      <w:r>
        <w:t xml:space="preserve">Латисный алгоритм цифровой подписи. Подписывающий ключ великий (~3–5 КБ), но проверка быстрая. Предпочтителен для ограниченных устройств, поскольку обеспечивает хорошую производительность на низкопотребляющих платформах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SPHINCS+ (SLH‑DSA).</w:t>
      </w:r>
      <w:r>
        <w:t xml:space="preserve"> </w:t>
      </w:r>
      <w:r>
        <w:t xml:space="preserve">Хеш-основанный алгоритм подписи (stateless). Очень большие подписи (десятки килобайт) и высокая вычислительная нагрузка, но полная криптографическая независимость от латесных схем и высокий запас безопасности. Рекомендуется как «страховка» на случай скрытых уязвимостей в других алгоритмах</w:t>
      </w:r>
      <w:hyperlink r:id="rId26">
        <w:r>
          <w:rPr>
            <w:rStyle w:val="Hyperlink"/>
          </w:rPr>
          <w:t xml:space="preserve">[6]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FALCON (FN‑DSA).</w:t>
      </w:r>
      <w:r>
        <w:t xml:space="preserve"> </w:t>
      </w:r>
      <w:r>
        <w:t xml:space="preserve">Латисный алгоритм подписи с оптимизированными вычислениями (использует FFT). Даёт короткие подписи (~600–700 байт), но сложен в реализации и требует плавающих вычислений. Преимущество – очень быстрая верификация</w:t>
      </w:r>
      <w:hyperlink r:id="rId26">
        <w:r>
          <w:rPr>
            <w:rStyle w:val="Hyperlink"/>
          </w:rPr>
          <w:t xml:space="preserve">[6]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Прочие.</w:t>
      </w:r>
      <w:r>
        <w:t xml:space="preserve"> </w:t>
      </w:r>
      <w:r>
        <w:t xml:space="preserve">Упомянуты также stateful схемы (LMS/XMSS) для определённых применений (SP 800-208). Кодовые схемы (McEliece) традиционно требуют больших ключей, но есть стандарты BSI. Алгоритмы вроде NTRUPrime, SABER находятся в рассмотрении, но пока не вошли в основные стандарты.</w:t>
      </w:r>
    </w:p>
    <w:p>
      <w:pPr>
        <w:pStyle w:val="FirstParagraph"/>
      </w:pPr>
      <w:r>
        <w:t xml:space="preserve">Таблица 1 ниже сравнивает основные параметры алгоритмов</w:t>
      </w:r>
      <w:r>
        <w:t xml:space="preserve"> </w:t>
      </w:r>
      <w:r>
        <w:rPr>
          <w:b/>
          <w:bCs/>
        </w:rPr>
        <w:t xml:space="preserve">Kyber, Dilithium, Falcon, SPHINCS+</w:t>
      </w:r>
      <w:r>
        <w:t xml:space="preserve"> </w:t>
      </w:r>
      <w:r>
        <w:t xml:space="preserve">по безопасности, размерам ключей/подписей и производительности.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Уровень защиты</w:t>
            </w:r>
          </w:p>
        </w:tc>
        <w:tc>
          <w:tcPr/>
          <w:p>
            <w:pPr>
              <w:pStyle w:val="Compact"/>
            </w:pPr>
            <w:r>
              <w:t xml:space="preserve">Размер ключей/подписей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(замерено)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Kyber (ML‑KEM)</w:t>
            </w:r>
          </w:p>
        </w:tc>
        <w:tc>
          <w:tcPr/>
          <w:p>
            <w:pPr>
              <w:pStyle w:val="Compact"/>
            </w:pPr>
            <w:r>
              <w:t xml:space="preserve">Латисный KEM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128 бит (Kyber512)</w:t>
            </w:r>
            <w:r>
              <w:t xml:space="preserve">&lt;br&gt;</w:t>
            </w:r>
            <w:r>
              <w:rPr>
                <w:strike/>
              </w:rPr>
              <w:t xml:space="preserve">192 бит (Kyber768)</w:t>
            </w:r>
            <w:r>
              <w:t xml:space="preserve">&lt;br&gt;</w:t>
            </w:r>
            <w:r>
              <w:rPr>
                <w:strike/>
              </w:rPr>
              <w:t xml:space="preserve">256 бит (Kyber1024)</w:t>
            </w:r>
          </w:p>
        </w:tc>
        <w:tc>
          <w:tcPr/>
          <w:p>
            <w:pPr>
              <w:pStyle w:val="Compact"/>
            </w:pPr>
            <w:r>
              <w:t xml:space="preserve">Пуб. ключ ~800–1500 B, закрытый ~1600–2800 B, шифротекст ~700–1500 B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Очень высокая (ключевое поколение/шифрование/дешифрование за микросекунды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Малые/средние размеры, низкая нагрузка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Dilithium (ML‑DSA)</w:t>
            </w:r>
          </w:p>
        </w:tc>
        <w:tc>
          <w:tcPr/>
          <w:p>
            <w:pPr>
              <w:pStyle w:val="Compact"/>
            </w:pPr>
            <w:r>
              <w:t xml:space="preserve">Латисный DSA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135 bits (L2)</w:t>
            </w:r>
            <w:r>
              <w:t xml:space="preserve">&lt;br&gt;</w:t>
            </w:r>
            <w:r>
              <w:rPr>
                <w:strike/>
              </w:rPr>
              <w:t xml:space="preserve">190 bits (L3)</w:t>
            </w:r>
            <w:r>
              <w:t xml:space="preserve">&lt;br&gt;</w:t>
            </w:r>
            <w:r>
              <w:rPr>
                <w:strike/>
              </w:rPr>
              <w:t xml:space="preserve">254 bits (L5)</w:t>
            </w:r>
          </w:p>
        </w:tc>
        <w:tc>
          <w:tcPr/>
          <w:p>
            <w:pPr>
              <w:pStyle w:val="Compact"/>
            </w:pPr>
            <w:r>
              <w:t xml:space="preserve">Подпись ~2–5 KB; пуб/приватный ключи ~1–3 KB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Умеренная скорость (более эффективен на низкопотребляющих устройствах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Короткие подписи по сравнению со Sphincs+, проверка быстрая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Falcon (FN‑DSA)</w:t>
            </w:r>
          </w:p>
        </w:tc>
        <w:tc>
          <w:tcPr/>
          <w:p>
            <w:pPr>
              <w:pStyle w:val="Compact"/>
            </w:pPr>
            <w:r>
              <w:t xml:space="preserve">Латисный DSA</w:t>
            </w:r>
          </w:p>
        </w:tc>
        <w:tc>
          <w:tcPr/>
          <w:p>
            <w:pPr>
              <w:pStyle w:val="Compact"/>
            </w:pPr>
            <w:r>
              <w:rPr>
                <w:vertAlign w:val="subscript"/>
              </w:rPr>
              <w:t xml:space="preserve">~</w:t>
            </w:r>
            <w:r>
              <w:t xml:space="preserve">128 bits (Falcon-512)</w:t>
            </w:r>
            <w:r>
              <w:rPr>
                <w:strike/>
              </w:rPr>
              <w:t xml:space="preserve">&lt;br&gt;</w:t>
            </w:r>
            <w:r>
              <w:rPr>
                <w:strike/>
                <w:vertAlign w:val="subscript"/>
              </w:rPr>
              <w:t xml:space="preserve">~</w:t>
            </w:r>
            <w:r>
              <w:rPr>
                <w:strike/>
              </w:rPr>
              <w:t xml:space="preserve">256 bits (Falcon-1024)</w:t>
            </w:r>
          </w:p>
        </w:tc>
        <w:tc>
          <w:tcPr/>
          <w:p>
            <w:pPr>
              <w:pStyle w:val="Compact"/>
            </w:pPr>
            <w:r>
              <w:t xml:space="preserve">Подпись ~600–700 B; пуб ключ ~1.2 KB, приват ~2.6 KB</w:t>
            </w:r>
          </w:p>
        </w:tc>
        <w:tc>
          <w:tcPr/>
          <w:p>
            <w:pPr>
              <w:pStyle w:val="Compact"/>
            </w:pPr>
            <w:r>
              <w:t xml:space="preserve">Высокая скорость проверки подписи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Компактные подписи; сложная реализация (FP-операции)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SPHINCS+ (SLH‑DSA)</w:t>
            </w:r>
          </w:p>
        </w:tc>
        <w:tc>
          <w:tcPr/>
          <w:p>
            <w:pPr>
              <w:pStyle w:val="Compact"/>
            </w:pPr>
            <w:r>
              <w:t xml:space="preserve">Хеш-основанный</w:t>
            </w:r>
          </w:p>
        </w:tc>
        <w:tc>
          <w:tcPr/>
          <w:p>
            <w:pPr>
              <w:pStyle w:val="Compact"/>
            </w:pPr>
            <w:r>
              <w:rPr>
                <w:vertAlign w:val="subscript"/>
              </w:rPr>
              <w:t xml:space="preserve">~</w:t>
            </w:r>
            <w:r>
              <w:t xml:space="preserve">128 bits (SHA256‑256f)~~</w:t>
            </w:r>
          </w:p>
        </w:tc>
        <w:tc>
          <w:tcPr/>
          <w:p>
            <w:pPr>
              <w:pStyle w:val="Compact"/>
            </w:pPr>
            <w:r>
              <w:t xml:space="preserve">Подпись десятки КБ (зависит от варианта), ключи ~1–2 KB</w:t>
            </w:r>
          </w:p>
        </w:tc>
        <w:tc>
          <w:tcPr/>
          <w:p>
            <w:pPr>
              <w:pStyle w:val="Compact"/>
            </w:pPr>
            <w:r>
              <w:t xml:space="preserve">Очень низкая (генерация и проверка подписи медленная)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Полная безопасность (не зависит от реш. проблем); очень большие подписи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RSA/ECC</w:t>
            </w:r>
            <w:r>
              <w:t xml:space="preserve">&lt;br&gt;(для сравнения)</w:t>
            </w:r>
          </w:p>
        </w:tc>
        <w:tc>
          <w:tcPr/>
          <w:p>
            <w:pPr>
              <w:pStyle w:val="Compact"/>
            </w:pPr>
            <w:r>
              <w:t xml:space="preserve">Классические</w:t>
            </w:r>
          </w:p>
        </w:tc>
        <w:tc>
          <w:tcPr/>
          <w:p>
            <w:pPr>
              <w:pStyle w:val="Compact"/>
            </w:pPr>
            <w:r>
              <w:t xml:space="preserve">128 бит (EC p-256)</w:t>
            </w:r>
          </w:p>
        </w:tc>
        <w:tc>
          <w:tcPr/>
          <w:p>
            <w:pPr>
              <w:pStyle w:val="Compact"/>
            </w:pPr>
            <w:r>
              <w:t xml:space="preserve">Подпись ~64–512 B; ключи 32–256 B</w:t>
            </w:r>
          </w:p>
        </w:tc>
        <w:tc>
          <w:tcPr/>
          <w:p>
            <w:pPr>
              <w:pStyle w:val="Compact"/>
            </w:pPr>
            <w:r>
              <w:t xml:space="preserve">Быстрая проверка, медленная генерация (для RSA)</w:t>
            </w:r>
          </w:p>
        </w:tc>
        <w:tc>
          <w:tcPr/>
          <w:p>
            <w:pPr>
              <w:pStyle w:val="Compact"/>
            </w:pPr>
            <w:r>
              <w:t xml:space="preserve">Уязвимы к квантовым (Shor)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Примечание:</w:t>
      </w:r>
      <w:r>
        <w:t xml:space="preserve"> </w:t>
      </w:r>
      <w:r>
        <w:t xml:space="preserve">приведены ориентировочные значения. Kyber обычно выигрывает в скорости и небольшом размере ключей</w:t>
      </w:r>
      <w:hyperlink r:id="rId31">
        <w:r>
          <w:rPr>
            <w:rStyle w:val="Hyperlink"/>
          </w:rPr>
          <w:t xml:space="preserve">[10]</w:t>
        </w:r>
      </w:hyperlink>
      <w:r>
        <w:t xml:space="preserve">. Dilithium оптимизирован для низкой нагрузки (калькуляции подписи), в то время как Falcon даёт короче подпись и быструю проверку</w:t>
      </w:r>
      <w:hyperlink r:id="rId32">
        <w:r>
          <w:rPr>
            <w:rStyle w:val="Hyperlink"/>
          </w:rPr>
          <w:t xml:space="preserve">[11]</w:t>
        </w:r>
      </w:hyperlink>
      <w:r>
        <w:t xml:space="preserve">. Sphincs+ обеспечивает «страховку» хеш-решением, но требует значительно больше ресурсов.</w:t>
      </w:r>
    </w:p>
    <w:bookmarkEnd w:id="33"/>
    <w:bookmarkStart w:id="38" w:name="Xf9333a0faf6d76965cc83034f0b13a9369c669e"/>
    <w:p>
      <w:pPr>
        <w:pStyle w:val="Heading2"/>
      </w:pPr>
      <w:r>
        <w:t xml:space="preserve">Варианты интеграции в Java-приложение умного дома</w:t>
      </w:r>
    </w:p>
    <w:p>
      <w:pPr>
        <w:pStyle w:val="FirstParagraph"/>
      </w:pPr>
      <w:r>
        <w:t xml:space="preserve">Рассмотрим три подхода: классический (текущий), чисто постквантовый и гибридный.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Совместимость (TLS/MQTT/CoAP)</w:t>
            </w:r>
          </w:p>
        </w:tc>
        <w:tc>
          <w:tcPr/>
          <w:p>
            <w:pPr>
              <w:pStyle w:val="Compact"/>
            </w:pPr>
            <w:r>
              <w:t xml:space="preserve">Ключи и их обновление</w:t>
            </w:r>
          </w:p>
        </w:tc>
        <w:tc>
          <w:tcPr/>
          <w:p>
            <w:pPr>
              <w:pStyle w:val="Compact"/>
            </w:pPr>
            <w:r>
              <w:t xml:space="preserve">Преимущества/Недостатки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Классический</w:t>
            </w:r>
          </w:p>
        </w:tc>
        <w:tc>
          <w:tcPr/>
          <w:p>
            <w:pPr>
              <w:pStyle w:val="Compact"/>
            </w:pPr>
            <w:r>
              <w:t xml:space="preserve">RSA/ECC + AES (без PQC)</w:t>
            </w:r>
          </w:p>
        </w:tc>
        <w:tc>
          <w:tcPr/>
          <w:p>
            <w:pPr>
              <w:pStyle w:val="Compact"/>
            </w:pPr>
            <w:r>
              <w:t xml:space="preserve">Поддерживается везде</w:t>
            </w:r>
          </w:p>
        </w:tc>
        <w:tc>
          <w:tcPr/>
          <w:p>
            <w:pPr>
              <w:pStyle w:val="Compact"/>
            </w:pPr>
            <w:r>
              <w:t xml:space="preserve">Статические сертификаты (ECDSA); сессионные ключи (ECDHE) с регулярной ротацией (год)</w:t>
            </w:r>
          </w:p>
        </w:tc>
        <w:tc>
          <w:tcPr/>
          <w:p>
            <w:pPr>
              <w:pStyle w:val="Compact"/>
            </w:pPr>
            <w:r>
              <w:t xml:space="preserve">Широкая поддержка, простота, но уязвим к квантовым атакам (Shor)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Постквантовый</w:t>
            </w:r>
          </w:p>
        </w:tc>
        <w:tc>
          <w:tcPr/>
          <w:p>
            <w:pPr>
              <w:pStyle w:val="Compact"/>
            </w:pPr>
            <w:r>
              <w:t xml:space="preserve">Только PQC (Kyber для шифрования, Dilithium/Falcon для подписей)</w:t>
            </w:r>
          </w:p>
        </w:tc>
        <w:tc>
          <w:tcPr/>
          <w:p>
            <w:pPr>
              <w:pStyle w:val="Compact"/>
            </w:pPr>
            <w:r>
              <w:t xml:space="preserve">Требует поддержки алгоритмов на обоих концах; новая версия TLS/компоненты</w:t>
            </w:r>
          </w:p>
        </w:tc>
        <w:tc>
          <w:tcPr/>
          <w:p>
            <w:pPr>
              <w:pStyle w:val="Compact"/>
            </w:pPr>
            <w:r>
              <w:t xml:space="preserve">Ключи ML-KEM и ML-DSA меняются по схеме: открытые сертификаты (подписанные PQC) раз в год-несколько лет, сессионные ключи — всегда новые (каждый сеанс)</w:t>
            </w:r>
          </w:p>
        </w:tc>
        <w:tc>
          <w:tcPr/>
          <w:p>
            <w:pPr>
              <w:pStyle w:val="Compact"/>
            </w:pPr>
            <w:r>
              <w:t xml:space="preserve">Устойчивость к квантовым атакам; может потребовать обновления всей инфраструктуры (сертификаты, HSM)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Гибридный</w:t>
            </w:r>
          </w:p>
        </w:tc>
        <w:tc>
          <w:tcPr/>
          <w:p>
            <w:pPr>
              <w:pStyle w:val="Compact"/>
            </w:pPr>
            <w:r>
              <w:t xml:space="preserve">Классическая + PQC одновременно (для TLS-Handshake)</w:t>
            </w:r>
          </w:p>
        </w:tc>
        <w:tc>
          <w:tcPr/>
          <w:p>
            <w:pPr>
              <w:pStyle w:val="Compact"/>
            </w:pPr>
            <w:r>
              <w:t xml:space="preserve">Работает с существующими TLS (расширения, composite-сертификаты); применяется уже в экспериментах (например, Firefox+Cloudflare поддерживают X25519+Kyber)</w:t>
            </w:r>
          </w:p>
        </w:tc>
        <w:tc>
          <w:tcPr/>
          <w:p>
            <w:pPr>
              <w:pStyle w:val="Compact"/>
            </w:pPr>
            <w:r>
              <w:t xml:space="preserve">Два потока ключей: классический (ECDH/ECDSA) и PQC (ML-KEM/ML-DSA) одновременно; сертификаты можно гибридные (двойная подпись). Обновление: PQC-компонент роутируется по своим правилам (например, раз в несколько лет), классический — по обычной схеме.</w:t>
            </w:r>
          </w:p>
        </w:tc>
        <w:tc>
          <w:tcPr/>
          <w:p>
            <w:pPr>
              <w:pStyle w:val="Compact"/>
            </w:pPr>
            <w:r>
              <w:t xml:space="preserve">Максимальная надёжность в переходный период: если PQC-алгоритм окажется слаб, то остаётся классический. Совместимость с TLS 1.3 (гибридные рукостискания), MQTT/CoAP (через TLS/DTLS), HSM/TPM (см. ниже). Недостаток — удвоенная вычислительная нагрузка на handshake.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TLS/HTTPS:</w:t>
      </w:r>
      <w:r>
        <w:t xml:space="preserve"> </w:t>
      </w:r>
      <w:r>
        <w:t xml:space="preserve">современные библиотеки (BouncyCastle 1.79, wolfSSL, OpenSSL) уже начали внедрять NIST PQC в TLS/DTLS. Например, wolfSSL позволяет устанавливать TLS 1.3-соединения с ключевым обменом</w:t>
      </w:r>
      <w:r>
        <w:t xml:space="preserve"> </w:t>
      </w:r>
      <w:r>
        <w:rPr>
          <w:i/>
          <w:iCs/>
        </w:rPr>
        <w:t xml:space="preserve">Kyber+P256</w:t>
      </w:r>
      <w:r>
        <w:t xml:space="preserve"> </w:t>
      </w:r>
      <w:r>
        <w:t xml:space="preserve">и аутентификацией</w:t>
      </w:r>
      <w:r>
        <w:t xml:space="preserve"> </w:t>
      </w:r>
      <w:r>
        <w:rPr>
          <w:i/>
          <w:iCs/>
        </w:rPr>
        <w:t xml:space="preserve">Falcon</w:t>
      </w:r>
      <w:hyperlink r:id="rId34">
        <w:r>
          <w:rPr>
            <w:rStyle w:val="Hyperlink"/>
          </w:rPr>
          <w:t xml:space="preserve">[12]</w:t>
        </w:r>
      </w:hyperlink>
      <w:r>
        <w:t xml:space="preserve">. Для Java можно использовать BouncyCastle как провайдер или OpenJDK 24, где через JEP 496/497 доступны «ML-KEM» и «ML-DSA» (под капотом — Kyber/Dilithium)</w:t>
      </w:r>
      <w:hyperlink r:id="rId35">
        <w:r>
          <w:rPr>
            <w:rStyle w:val="Hyperlink"/>
          </w:rPr>
          <w:t xml:space="preserve">[13]</w:t>
        </w:r>
      </w:hyperlink>
      <w:hyperlink r:id="rId36">
        <w:r>
          <w:rPr>
            <w:rStyle w:val="Hyperlink"/>
          </w:rPr>
          <w:t xml:space="preserve">[14]</w:t>
        </w:r>
      </w:hyperlink>
      <w:r>
        <w:t xml:space="preserve">. Важно настроить TLS-коннект на использование гибридных схем (сначала докер сервер, потом клиент) и предусмотреть новые названия алгоритмов (например,</w:t>
      </w:r>
      <w:r>
        <w:t xml:space="preserve"> </w:t>
      </w:r>
      <w:r>
        <w:rPr>
          <w:rStyle w:val="VerbatimChar"/>
        </w:rPr>
        <w:t xml:space="preserve">"ML-KEM"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"ML-DSA"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MQTT:</w:t>
      </w:r>
      <w:r>
        <w:t xml:space="preserve"> </w:t>
      </w:r>
      <w:r>
        <w:t xml:space="preserve">MQTT-сообщения обычно шифруются поверх TLS. Используем тот же подход, что и для HTTPS. Библиотеки для MQTT (например, wolfMQTT) уже поддерживают PQC-схемы:</w:t>
      </w:r>
      <w:r>
        <w:t xml:space="preserve"> </w:t>
      </w:r>
      <w:r>
        <w:rPr>
          <w:i/>
          <w:iCs/>
        </w:rPr>
        <w:t xml:space="preserve">Kyber</w:t>
      </w:r>
      <w:r>
        <w:t xml:space="preserve"> </w:t>
      </w:r>
      <w:r>
        <w:t xml:space="preserve">для KEM и</w:t>
      </w:r>
      <w:r>
        <w:t xml:space="preserve"> </w:t>
      </w:r>
      <w:r>
        <w:rPr>
          <w:i/>
          <w:iCs/>
        </w:rPr>
        <w:t xml:space="preserve">Falcon</w:t>
      </w:r>
      <w:r>
        <w:t xml:space="preserve"> </w:t>
      </w:r>
      <w:r>
        <w:t xml:space="preserve">для подписи</w:t>
      </w:r>
      <w:hyperlink r:id="rId34">
        <w:r>
          <w:rPr>
            <w:rStyle w:val="Hyperlink"/>
          </w:rPr>
          <w:t xml:space="preserve">[12]</w:t>
        </w:r>
      </w:hyperlink>
      <w:r>
        <w:t xml:space="preserve">. Если TLS не применялся, можно использовать TLS-библиотеки с PQC (wolfSSL, OpenSSL/OQS, BouncyCastle) или защитить сообщения на уровне приложения (например, используя явное шифрование или OSCORE — с внедрением PQC в обмен ключами).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CoAP (DTLS):</w:t>
      </w:r>
      <w:r>
        <w:t xml:space="preserve"> </w:t>
      </w:r>
      <w:r>
        <w:t xml:space="preserve">аналогично TLS, CoAP часто работает с DTLS. Переход на Post-Quantum DTLS реализуется теми же библиотеками (wolfSSL DTLS 1.3, tinydtls с OQS). Можно использовать гибридные расширения DTLS (например, ECDH+Kyber) и сертификаты X.509 с подписью Dilithium.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HSM/TPM:</w:t>
      </w:r>
      <w:r>
        <w:t xml:space="preserve"> </w:t>
      </w:r>
      <w:r>
        <w:t xml:space="preserve">Аппаратные модули безопасности постепенно получают поддержку PQC. Например, библиотека wolfTPM в версии TPM 2.0 v1.85 реализовала команды</w:t>
      </w:r>
      <w:r>
        <w:t xml:space="preserve"> </w:t>
      </w:r>
      <w:r>
        <w:rPr>
          <w:i/>
          <w:iCs/>
        </w:rPr>
        <w:t xml:space="preserve">TPM2_Encapsulate/Decapsulate</w:t>
      </w:r>
      <w:r>
        <w:t xml:space="preserve"> </w:t>
      </w:r>
      <w:r>
        <w:t xml:space="preserve">для ML‑KEM и</w:t>
      </w:r>
      <w:r>
        <w:t xml:space="preserve"> </w:t>
      </w:r>
      <w:r>
        <w:rPr>
          <w:i/>
          <w:iCs/>
        </w:rPr>
        <w:t xml:space="preserve">SignSequence/VerifySequence</w:t>
      </w:r>
      <w:r>
        <w:t xml:space="preserve"> </w:t>
      </w:r>
      <w:r>
        <w:t xml:space="preserve">для ML‑DSA (Dilithium)</w:t>
      </w:r>
      <w:hyperlink r:id="rId37">
        <w:r>
          <w:rPr>
            <w:rStyle w:val="Hyperlink"/>
          </w:rPr>
          <w:t xml:space="preserve">[15]</w:t>
        </w:r>
      </w:hyperlink>
      <w:r>
        <w:t xml:space="preserve">. Новые типы данных (TPM2B_KEM_CIPHERTEXT) позволяют хранить большие ключи и шифротексты PQC. При использовании TPM/HSM рекомендуется обновлять прошивку и ПО модулей, следить за совместимостью параметров (например, некоторые модули пока не поддерживают плавающие операции FALCON).</w:t>
      </w:r>
    </w:p>
    <w:p>
      <w:pPr>
        <w:pStyle w:val="FirstParagraph"/>
      </w:pPr>
      <w:r>
        <w:t xml:space="preserve">Следует учесть</w:t>
      </w:r>
      <w:r>
        <w:t xml:space="preserve"> </w:t>
      </w:r>
      <w:r>
        <w:rPr>
          <w:b/>
          <w:bCs/>
        </w:rPr>
        <w:t xml:space="preserve">частоту обновления ключей</w:t>
      </w:r>
      <w:r>
        <w:t xml:space="preserve">: сессионные ключи (эпhemeral) генерируются на каждый обмен (как сегодня при ECDHE), PQC-ключи же можно обновлять реже (например, сертификаты на 1–3 года, симметричные ключи – по политике). Гибридные схемы позволяют плавно мигрировать: сначала включают PQC в handshake, оставляя традиционные алгоритмы как резерв, а со временем – переходят к чисто постквантовым.</w:t>
      </w:r>
    </w:p>
    <w:p>
      <w:pPr>
        <w:pStyle w:val="BodyText"/>
      </w:pPr>
      <w:r>
        <w:rPr>
          <w:b/>
          <w:bCs/>
        </w:rPr>
        <w:t xml:space="preserve">Таблица 2.</w:t>
      </w:r>
      <w:r>
        <w:t xml:space="preserve"> </w:t>
      </w:r>
      <w:r>
        <w:t xml:space="preserve">Сравнение вариантов интеграции постквантовых схем в Java-приложение умного дома.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Используемые схемы</w:t>
            </w:r>
          </w:p>
        </w:tc>
        <w:tc>
          <w:tcPr/>
          <w:p>
            <w:pPr>
              <w:pStyle w:val="Compact"/>
            </w:pPr>
            <w:r>
              <w:t xml:space="preserve">TLS/HTTPS</w:t>
            </w:r>
          </w:p>
        </w:tc>
        <w:tc>
          <w:tcPr/>
          <w:p>
            <w:pPr>
              <w:pStyle w:val="Compact"/>
            </w:pPr>
            <w:r>
              <w:t xml:space="preserve">MQTT/CoAP</w:t>
            </w:r>
          </w:p>
        </w:tc>
        <w:tc>
          <w:tcPr/>
          <w:p>
            <w:pPr>
              <w:pStyle w:val="Compact"/>
            </w:pPr>
            <w:r>
              <w:t xml:space="preserve">HSM/TPM</w:t>
            </w:r>
          </w:p>
        </w:tc>
        <w:tc>
          <w:tcPr/>
          <w:p>
            <w:pPr>
              <w:pStyle w:val="Compact"/>
            </w:pPr>
            <w:r>
              <w:t xml:space="preserve">Особенности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Классический</w:t>
            </w:r>
            <w:r>
              <w:t xml:space="preserve"> </w:t>
            </w:r>
            <w:r>
              <w:t xml:space="preserve">(без PQC)</w:t>
            </w:r>
          </w:p>
        </w:tc>
        <w:tc>
          <w:tcPr/>
          <w:p>
            <w:pPr>
              <w:pStyle w:val="Compact"/>
            </w:pPr>
            <w:r>
              <w:t xml:space="preserve">RSA, ECDH, ECDSA; AES</w:t>
            </w:r>
          </w:p>
        </w:tc>
        <w:tc>
          <w:tcPr/>
          <w:p>
            <w:pPr>
              <w:pStyle w:val="Compact"/>
            </w:pPr>
            <w:r>
              <w:t xml:space="preserve">Поддерживается</w:t>
            </w:r>
          </w:p>
        </w:tc>
        <w:tc>
          <w:tcPr/>
          <w:p>
            <w:pPr>
              <w:pStyle w:val="Compact"/>
            </w:pPr>
            <w:r>
              <w:t xml:space="preserve">Поддерживается</w:t>
            </w:r>
          </w:p>
        </w:tc>
        <w:tc>
          <w:tcPr/>
          <w:p>
            <w:pPr>
              <w:pStyle w:val="Compact"/>
            </w:pPr>
            <w:r>
              <w:t xml:space="preserve">Поддерживается</w:t>
            </w:r>
          </w:p>
        </w:tc>
        <w:tc>
          <w:tcPr/>
          <w:p>
            <w:pPr>
              <w:pStyle w:val="Compact"/>
            </w:pPr>
            <w:r>
              <w:t xml:space="preserve">Нет сопротивления квантовой атаке; совместимость полная, но небезопасен после появления квантов.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PQC-only</w:t>
            </w:r>
          </w:p>
        </w:tc>
        <w:tc>
          <w:tcPr/>
          <w:p>
            <w:pPr>
              <w:pStyle w:val="Compact"/>
            </w:pPr>
            <w:r>
              <w:t xml:space="preserve">Kyber (KEM), Dilithium/SPHINCS+/Falcon (sig)</w:t>
            </w:r>
          </w:p>
        </w:tc>
        <w:tc>
          <w:tcPr/>
          <w:p>
            <w:pPr>
              <w:pStyle w:val="Compact"/>
            </w:pPr>
            <w:r>
              <w:t xml:space="preserve">Требуется поддержка новых алгоритмов; можно через обновлённый JSSE или BC</w:t>
            </w:r>
          </w:p>
        </w:tc>
        <w:tc>
          <w:tcPr/>
          <w:p>
            <w:pPr>
              <w:pStyle w:val="Compact"/>
            </w:pPr>
            <w:r>
              <w:t xml:space="preserve">TLS/DTLS с PQC</w:t>
            </w:r>
          </w:p>
        </w:tc>
        <w:tc>
          <w:tcPr/>
          <w:p>
            <w:pPr>
              <w:pStyle w:val="Compact"/>
            </w:pPr>
            <w:r>
              <w:t xml:space="preserve">TPM/HSM должны поддерживать PQC (см. wolfTPM)</w:t>
            </w:r>
            <w:hyperlink r:id="rId37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Высокая криптостойкость, но требуется обновление всей инфраструктуры (сертификаты, библиотеки).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Гибридный</w:t>
            </w:r>
            <w:r>
              <w:t xml:space="preserve"> </w:t>
            </w:r>
            <w:r>
              <w:t xml:space="preserve">(рекомендуется)</w:t>
            </w:r>
          </w:p>
        </w:tc>
        <w:tc>
          <w:tcPr/>
          <w:p>
            <w:pPr>
              <w:pStyle w:val="Compact"/>
            </w:pPr>
            <w:r>
              <w:t xml:space="preserve">ЭКЗ: X25519+Kyber; подпись: ECDSA+Dilithium (или Ed25519+Dilithium)</w:t>
            </w:r>
          </w:p>
        </w:tc>
        <w:tc>
          <w:tcPr/>
          <w:p>
            <w:pPr>
              <w:pStyle w:val="Compact"/>
            </w:pPr>
            <w:r>
              <w:t xml:space="preserve">Используются расширения TLS 1.3 для состава алгоритмов (рассматривается в IETF)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Аналогично TLS; проверено на примере wolfMQTT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TPM/HSM участвуют в обоих алгоритмах (классическом и PQC)</w:t>
            </w:r>
          </w:p>
        </w:tc>
        <w:tc>
          <w:tcPr/>
          <w:p>
            <w:pPr>
              <w:pStyle w:val="Compact"/>
            </w:pPr>
            <w:r>
              <w:t xml:space="preserve">Сохраняет совместимость с классикой, обеспечивает квантово-стойкую защиту. Широкая поддержка начиная с Java 24/Bouncy 1.79. Увеличивает размер рукопожатия (вдвое больше операций), но более безопасен.</w:t>
            </w:r>
          </w:p>
        </w:tc>
      </w:tr>
    </w:tbl>
    <w:bookmarkEnd w:id="38"/>
    <w:bookmarkStart w:id="39" w:name="рекомендации-по-выбору-схем"/>
    <w:p>
      <w:pPr>
        <w:pStyle w:val="Heading2"/>
      </w:pPr>
      <w:r>
        <w:t xml:space="preserve">Рекомендации по выбору схем</w:t>
      </w:r>
    </w:p>
    <w:p>
      <w:pPr>
        <w:pStyle w:val="FirstParagraph"/>
      </w:pPr>
      <w:r>
        <w:t xml:space="preserve">Для умного дома целесообразно сразу внедрять</w:t>
      </w:r>
      <w:r>
        <w:t xml:space="preserve"> </w:t>
      </w:r>
      <w:r>
        <w:rPr>
          <w:b/>
          <w:bCs/>
        </w:rPr>
        <w:t xml:space="preserve">гибридную схему</w:t>
      </w:r>
      <w:r>
        <w:t xml:space="preserve">. В качестве КЭП-шлюза (ключевого обмена) рекомендован</w:t>
      </w:r>
      <w:r>
        <w:t xml:space="preserve"> </w:t>
      </w:r>
      <w:r>
        <w:rPr>
          <w:i/>
          <w:iCs/>
        </w:rPr>
        <w:t xml:space="preserve">Kyber</w:t>
      </w:r>
      <w:r>
        <w:t xml:space="preserve"> </w:t>
      </w:r>
      <w:r>
        <w:t xml:space="preserve">(ML‑KEM) – NIST подтвердил его надежность и эффективность</w:t>
      </w:r>
      <w:hyperlink r:id="rId21">
        <w:r>
          <w:rPr>
            <w:rStyle w:val="Hyperlink"/>
          </w:rPr>
          <w:t xml:space="preserve">[1]</w:t>
        </w:r>
      </w:hyperlink>
      <w:hyperlink r:id="rId31">
        <w:r>
          <w:rPr>
            <w:rStyle w:val="Hyperlink"/>
          </w:rPr>
          <w:t xml:space="preserve">[10]</w:t>
        </w:r>
      </w:hyperlink>
      <w:r>
        <w:t xml:space="preserve">. Для подписи аутентичности –</w:t>
      </w:r>
      <w:r>
        <w:t xml:space="preserve"> </w:t>
      </w:r>
      <w:r>
        <w:rPr>
          <w:i/>
          <w:iCs/>
        </w:rPr>
        <w:t xml:space="preserve">Dilithium</w:t>
      </w:r>
      <w:r>
        <w:t xml:space="preserve"> </w:t>
      </w:r>
      <w:r>
        <w:t xml:space="preserve">(ML‑DSA) как базовый алгоритм подписания: он сбалансирован по скорости и размеру подписей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Falcon</w:t>
      </w:r>
      <w:r>
        <w:t xml:space="preserve"> </w:t>
      </w:r>
      <w:r>
        <w:t xml:space="preserve">можно использовать для ограниченных случаев, где приоритет – размер подписи (например, когда пропускная способность очень мала), но нужно учитывать сложность реализации.</w:t>
      </w:r>
      <w:r>
        <w:t xml:space="preserve"> </w:t>
      </w:r>
      <w:r>
        <w:rPr>
          <w:i/>
          <w:iCs/>
        </w:rPr>
        <w:t xml:space="preserve">SPHINCS+</w:t>
      </w:r>
      <w:r>
        <w:t xml:space="preserve"> </w:t>
      </w:r>
      <w:r>
        <w:t xml:space="preserve">рекомендуется как резервная схема для долгосрочных сертификатов или фьючерсных систем, где больший размер допустим, но важно независимое основание безопасности</w:t>
      </w:r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BodyText"/>
      </w:pPr>
      <w:r>
        <w:t xml:space="preserve">Для строгих ограниченных устройств (умные датчики) можно снизить параметры (использовать Kyber-512 вместо более сильных версий) или временно применить классические симметричные методы, пока ресурсы не позволят использовать полную PQC-схему. В план интеграции следует включить обновление ПО и библиотек (например, перейти на OpenJDK 24/Bouncy 1.79 для PQC-провайдера), а также перераздачу сертификатов с поддержкой новых алгоритмов (возможно, гибридных X.509 с двумя подписями).</w:t>
      </w:r>
    </w:p>
    <w:bookmarkEnd w:id="39"/>
    <w:bookmarkStart w:id="41" w:name="примеры-кода-на-java"/>
    <w:p>
      <w:pPr>
        <w:pStyle w:val="Heading2"/>
      </w:pPr>
      <w:r>
        <w:t xml:space="preserve">Примеры кода на Java</w:t>
      </w:r>
    </w:p>
    <w:p>
      <w:pPr>
        <w:pStyle w:val="FirstParagraph"/>
      </w:pPr>
      <w:r>
        <w:t xml:space="preserve">В OpenJDK 24+ доступны API</w:t>
      </w:r>
      <w:r>
        <w:t xml:space="preserve"> </w:t>
      </w:r>
      <w:r>
        <w:rPr>
          <w:rStyle w:val="VerbatimChar"/>
        </w:rPr>
        <w:t xml:space="preserve">KeyPairGenerator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KEM</w:t>
      </w:r>
      <w:r>
        <w:t xml:space="preserve"> </w:t>
      </w:r>
      <w:r>
        <w:t xml:space="preserve">для новых алгоритмов. Примеры для Kyber (ML‑KEM) и Dilithium (ML‑DSA) приведены ниже.</w:t>
      </w:r>
    </w:p>
    <w:p>
      <w:pPr>
        <w:pStyle w:val="SourceCode"/>
      </w:pPr>
      <w:r>
        <w:rPr>
          <w:rStyle w:val="VerbatimChar"/>
        </w:rPr>
        <w:t xml:space="preserve">// Генерация пары ключей и обмен секретом с помощью ML-KEM (Kyber)</w:t>
      </w:r>
      <w:r>
        <w:br/>
      </w:r>
      <w:r>
        <w:rPr>
          <w:rStyle w:val="VerbatimChar"/>
        </w:rPr>
        <w:t xml:space="preserve">KeyPairGenerator kpg = KeyPairGenerator.getInstance("ML-KEM");</w:t>
      </w:r>
      <w:r>
        <w:br/>
      </w:r>
      <w:r>
        <w:rPr>
          <w:rStyle w:val="VerbatimChar"/>
        </w:rPr>
        <w:t xml:space="preserve">kpg.initialize(NamedParameterSpec.ML_KEM_512);          // ML-KEM-512</w:t>
      </w:r>
      <w:r>
        <w:br/>
      </w:r>
      <w:r>
        <w:rPr>
          <w:rStyle w:val="VerbatimChar"/>
        </w:rPr>
        <w:t xml:space="preserve">KeyPair kp = kpg.generateKeyPair();                    // генерируем ключи</w:t>
      </w:r>
      <w:r>
        <w:br/>
      </w:r>
      <w:r>
        <w:br/>
      </w:r>
      <w:r>
        <w:rPr>
          <w:rStyle w:val="VerbatimChar"/>
        </w:rPr>
        <w:t xml:space="preserve">// Инкапсуляция (отправитель) </w:t>
      </w:r>
      <w:r>
        <w:br/>
      </w:r>
      <w:r>
        <w:rPr>
          <w:rStyle w:val="VerbatimChar"/>
        </w:rPr>
        <w:t xml:space="preserve">KEM kem = KEM.getInstance("ML-KEM");</w:t>
      </w:r>
      <w:r>
        <w:br/>
      </w:r>
      <w:r>
        <w:rPr>
          <w:rStyle w:val="VerbatimChar"/>
        </w:rPr>
        <w:t xml:space="preserve">KEM.Encapsulator enc = kem.newEncapsulator(kp.getPublic());</w:t>
      </w:r>
      <w:r>
        <w:br/>
      </w:r>
      <w:r>
        <w:rPr>
          <w:rStyle w:val="VerbatimChar"/>
        </w:rPr>
        <w:t xml:space="preserve">KEM.Encapsulated encap = enc.encapsulate();</w:t>
      </w:r>
      <w:r>
        <w:br/>
      </w:r>
      <w:r>
        <w:rPr>
          <w:rStyle w:val="VerbatimChar"/>
        </w:rPr>
        <w:t xml:space="preserve">byte[] ciphertext = encap.getEncapsulation();          // отправляемое сообщение</w:t>
      </w:r>
      <w:r>
        <w:br/>
      </w:r>
      <w:r>
        <w:rPr>
          <w:rStyle w:val="VerbatimChar"/>
        </w:rPr>
        <w:t xml:space="preserve">SecretKey secret1 = encap.key();</w:t>
      </w:r>
      <w:r>
        <w:br/>
      </w:r>
      <w:r>
        <w:br/>
      </w:r>
      <w:r>
        <w:rPr>
          <w:rStyle w:val="VerbatimChar"/>
        </w:rPr>
        <w:t xml:space="preserve">// Декапсуляция (приёмник)</w:t>
      </w:r>
      <w:r>
        <w:br/>
      </w:r>
      <w:r>
        <w:rPr>
          <w:rStyle w:val="VerbatimChar"/>
        </w:rPr>
        <w:t xml:space="preserve">KEM kem2 = KEM.getInstance("ML-KEM");</w:t>
      </w:r>
      <w:r>
        <w:br/>
      </w:r>
      <w:r>
        <w:rPr>
          <w:rStyle w:val="VerbatimChar"/>
        </w:rPr>
        <w:t xml:space="preserve">KEM.Decapsulator dec = kem2.newDecapsulator(kp.getPrivate());</w:t>
      </w:r>
      <w:r>
        <w:br/>
      </w:r>
      <w:r>
        <w:rPr>
          <w:rStyle w:val="VerbatimChar"/>
        </w:rPr>
        <w:t xml:space="preserve">SecretKey secret2 = dec.decapsulate(ciphertext);</w:t>
      </w:r>
      <w:r>
        <w:br/>
      </w:r>
      <w:r>
        <w:rPr>
          <w:rStyle w:val="VerbatimChar"/>
        </w:rPr>
        <w:t xml:space="preserve">// Теперь secret1 и secret2 совпадают – общий секрет известен только двум сторонам[13].</w:t>
      </w:r>
    </w:p>
    <w:p>
      <w:pPr>
        <w:pStyle w:val="SourceCode"/>
      </w:pPr>
      <w:r>
        <w:rPr>
          <w:rStyle w:val="VerbatimChar"/>
        </w:rPr>
        <w:t xml:space="preserve">// Подпись и проверка с помощью ML-DSA (Dilithium)</w:t>
      </w:r>
      <w:r>
        <w:br/>
      </w:r>
      <w:r>
        <w:rPr>
          <w:rStyle w:val="VerbatimChar"/>
        </w:rPr>
        <w:t xml:space="preserve">Signature signer = Signature.getInstance("ML-DSA");</w:t>
      </w:r>
      <w:r>
        <w:br/>
      </w:r>
      <w:r>
        <w:rPr>
          <w:rStyle w:val="VerbatimChar"/>
        </w:rPr>
        <w:t xml:space="preserve">signer.initSign(kp.getPrivate());</w:t>
      </w:r>
      <w:r>
        <w:br/>
      </w:r>
      <w:r>
        <w:rPr>
          <w:rStyle w:val="VerbatimChar"/>
        </w:rPr>
        <w:t xml:space="preserve">byte[] message = "test".getBytes(StandardCharsets.UTF_8);</w:t>
      </w:r>
      <w:r>
        <w:br/>
      </w:r>
      <w:r>
        <w:rPr>
          <w:rStyle w:val="VerbatimChar"/>
        </w:rPr>
        <w:t xml:space="preserve">signer.update(message);</w:t>
      </w:r>
      <w:r>
        <w:br/>
      </w:r>
      <w:r>
        <w:rPr>
          <w:rStyle w:val="VerbatimChar"/>
        </w:rPr>
        <w:t xml:space="preserve">byte[] sig = signer.sign();   // создаём подпись</w:t>
      </w:r>
      <w:r>
        <w:br/>
      </w:r>
      <w:r>
        <w:br/>
      </w:r>
      <w:r>
        <w:rPr>
          <w:rStyle w:val="VerbatimChar"/>
        </w:rPr>
        <w:t xml:space="preserve">Signature verifier = Signature.getInstance("ML-DSA");</w:t>
      </w:r>
      <w:r>
        <w:br/>
      </w:r>
      <w:r>
        <w:rPr>
          <w:rStyle w:val="VerbatimChar"/>
        </w:rPr>
        <w:t xml:space="preserve">verifier.initVerify(kp.getPublic());</w:t>
      </w:r>
      <w:r>
        <w:br/>
      </w:r>
      <w:r>
        <w:rPr>
          <w:rStyle w:val="VerbatimChar"/>
        </w:rPr>
        <w:t xml:space="preserve">verifier.update(message);</w:t>
      </w:r>
      <w:r>
        <w:br/>
      </w:r>
      <w:r>
        <w:rPr>
          <w:rStyle w:val="VerbatimChar"/>
        </w:rPr>
        <w:t xml:space="preserve">boolean ok = verifier.verify(sig); // проверяем подпись[14] </w:t>
      </w:r>
    </w:p>
    <w:p>
      <w:pPr>
        <w:pStyle w:val="FirstParagraph"/>
      </w:pPr>
      <w:r>
        <w:t xml:space="preserve">Альтернативно, можно использовать библиотеки</w:t>
      </w:r>
      <w:r>
        <w:t xml:space="preserve"> </w:t>
      </w:r>
      <w:r>
        <w:rPr>
          <w:i/>
          <w:iCs/>
        </w:rPr>
        <w:t xml:space="preserve">BouncyCastle</w:t>
      </w:r>
      <w:r>
        <w:t xml:space="preserve"> </w:t>
      </w:r>
      <w:r>
        <w:t xml:space="preserve">(провайдер “BC” или “BCPQC”) или</w:t>
      </w:r>
      <w:r>
        <w:t xml:space="preserve"> </w:t>
      </w:r>
      <w:r>
        <w:rPr>
          <w:i/>
          <w:iCs/>
        </w:rPr>
        <w:t xml:space="preserve">liboqs-java</w:t>
      </w:r>
      <w:r>
        <w:t xml:space="preserve">. BouncyCastle 1.79 уже поддерживает эти алгоритмы (ключ</w:t>
      </w:r>
      <w:r>
        <w:t xml:space="preserve"> </w:t>
      </w:r>
      <w:r>
        <w:rPr>
          <w:rStyle w:val="VerbatimChar"/>
        </w:rPr>
        <w:t xml:space="preserve">“ML-KEM”</w:t>
      </w:r>
      <w:r>
        <w:t xml:space="preserve">,</w:t>
      </w:r>
      <w:r>
        <w:t xml:space="preserve"> </w:t>
      </w:r>
      <w:r>
        <w:rPr>
          <w:rStyle w:val="VerbatimChar"/>
        </w:rPr>
        <w:t xml:space="preserve">“ML-DSA”</w:t>
      </w:r>
      <w:r>
        <w:t xml:space="preserve">,</w:t>
      </w:r>
      <w:r>
        <w:t xml:space="preserve"> </w:t>
      </w:r>
      <w:r>
        <w:rPr>
          <w:rStyle w:val="VerbatimChar"/>
        </w:rPr>
        <w:t xml:space="preserve">“SLH-DSA”</w:t>
      </w:r>
      <w:r>
        <w:t xml:space="preserve"> </w:t>
      </w:r>
      <w:r>
        <w:t xml:space="preserve">или старые имена “Kyber”, “Dilithium”, “SPHINCS+”)</w:t>
      </w:r>
      <w:hyperlink r:id="rId40">
        <w:r>
          <w:rPr>
            <w:rStyle w:val="Hyperlink"/>
          </w:rPr>
          <w:t xml:space="preserve">[16]</w:t>
        </w:r>
      </w:hyperlink>
      <w:r>
        <w:t xml:space="preserve">. Google Tink постепенно интегрирует PQC: в Java-реализации ожидается поддержка ML-DSA/ML-KEM по аналогии с C++/Go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41"/>
    <w:bookmarkStart w:id="42" w:name="риски-и-план-миграции"/>
    <w:p>
      <w:pPr>
        <w:pStyle w:val="Heading2"/>
      </w:pPr>
      <w:r>
        <w:t xml:space="preserve">Риски и план миграции</w:t>
      </w:r>
    </w:p>
    <w:p>
      <w:pPr>
        <w:pStyle w:val="FirstParagraph"/>
      </w:pPr>
      <w:r>
        <w:rPr>
          <w:b/>
          <w:bCs/>
        </w:rPr>
        <w:t xml:space="preserve">Риски:</w:t>
      </w:r>
      <w:r>
        <w:t xml:space="preserve"> </w:t>
      </w:r>
      <w:r>
        <w:t xml:space="preserve">Главный риск – атаки «store-now-decrypt-later» (запись зашифрованного трафика для дешифровки квантовым компьютером). Задержка внедрения PQC увеличивает этот риск. С другой стороны, новые алгоритмы могут пока быть менее хорошо отлажены: возможны скрытые уязвимости (например, побочные каналы в Falcon). При интеграции нужно тщательно тестировать библиотеки и протоколы, проверять корректность действий TPM/HSM и избегать экспериментальных реализаций в продакшене.</w:t>
      </w:r>
    </w:p>
    <w:p>
      <w:pPr>
        <w:pStyle w:val="BodyText"/>
      </w:pPr>
      <w:r>
        <w:rPr>
          <w:b/>
          <w:bCs/>
        </w:rPr>
        <w:t xml:space="preserve">План миграции:</w:t>
      </w:r>
      <w:r>
        <w:t xml:space="preserve"> </w:t>
      </w:r>
      <w:r>
        <w:t xml:space="preserve">Рекомендуется фазовый подход: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Оценка и тестирование.</w:t>
      </w:r>
      <w:r>
        <w:t xml:space="preserve"> </w:t>
      </w:r>
      <w:r>
        <w:t xml:space="preserve">Провести аудит криптоинвентаря, определить все точки обмена данными (TLS, MQTT, CoAP, локальные интерфейсы). Настроить экспериментальное окружение, где внедрить PQC-гибрид (например, тестовый MQTT-брокер с wolfMQTT на Kyber)</w:t>
      </w:r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Пилотная интеграция.</w:t>
      </w:r>
      <w:r>
        <w:t xml:space="preserve"> </w:t>
      </w:r>
      <w:r>
        <w:t xml:space="preserve">Переход ключевых сервисов на гибрид TLS, выпустить промежуточные сертификаты (с двойной подписью ECDSA+Dilithium или специализированные PKI-схемы). Обновить библиотеки Java до версии, поддерживающей PQC (JDK 24+, BC 1.79+). При этом параллельно сохранить классические алгоритмы в качестве бэкапа.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Обучение и ключевое управление.</w:t>
      </w:r>
      <w:r>
        <w:t xml:space="preserve"> </w:t>
      </w:r>
      <w:r>
        <w:t xml:space="preserve">Внедрить управление PQC-ключами: хранение (HSM/TPM), ротация (например, раз в 2–3 года для сертификатов), выпуск. Подготовить процедуры отклика на необходимость смены алгоритмов при появлении новых стандартов (NIST Round 4, и т.д.).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Постепенный переход.</w:t>
      </w:r>
      <w:r>
        <w:t xml:space="preserve"> </w:t>
      </w:r>
      <w:r>
        <w:t xml:space="preserve">Начать использовать чисто постквантовые схемы там, где это возможно (особенно в новых компонентах). На сильно ограниченных устройствах поддерживать классическое шифрование до появления оптимизированных аппаратных решений. В документации системы уточнить политику безопасного удаления старых ключей и перехода на новые.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рекомендуется сразу заложить гибридный подход</w:t>
      </w:r>
      <w:r>
        <w:t xml:space="preserve">. Он позволит плавно и прозрачно перейти на PQC, минимизировав оперативные риски. Особое внимание следует уделить взаимодействию с MQTT/CoAP через TLS/DTLS (использовать библиотеки, уже поддерживающие PQC</w:t>
      </w:r>
      <w:hyperlink r:id="rId34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[13]</w:t>
        </w:r>
      </w:hyperlink>
      <w:r>
        <w:t xml:space="preserve">) и возможности аппаратного хранения ключей (TPM с PQC, где возможно</w:t>
      </w:r>
      <w:hyperlink r:id="rId37">
        <w:r>
          <w:rPr>
            <w:rStyle w:val="Hyperlink"/>
          </w:rPr>
          <w:t xml:space="preserve">[15]</w:t>
        </w:r>
      </w:hyperlink>
      <w:r>
        <w:t xml:space="preserve">). Для устройств с действительно скромными ресурсами придется компромиссно выбирать параметры и использовать симметрию там, где пересылать большие подписи проблематично.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5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NIST Releases First 3 Finalized Post-Quantum Encryption Standards | NIST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https://www.nist.gov/news-events/news/2024/08/nist-releases-first-3-finalized-post-quantum-encryption-standards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downloads.bouncycastle.org</w:t>
      </w:r>
    </w:p>
    <w:p>
      <w:pPr>
        <w:pStyle w:val="BodyText"/>
      </w:pPr>
      <w:hyperlink r:id="rId46">
        <w:r>
          <w:rPr>
            <w:rStyle w:val="Hyperlink"/>
          </w:rPr>
          <w:t xml:space="preserve">https://downloads.bouncycastle.org/java/docs/PQC-Almanac.pdf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Google’s timeline for PQC migration</w:t>
      </w:r>
    </w:p>
    <w:p>
      <w:pPr>
        <w:pStyle w:val="BodyText"/>
      </w:pPr>
      <w:hyperlink r:id="rId47">
        <w:r>
          <w:rPr>
            <w:rStyle w:val="Hyperlink"/>
          </w:rPr>
          <w:t xml:space="preserve">https://blog.google/innovation-and-ai/technology/safety-security/cryptography-migration-timeline/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Post-Quantum Cryptography Recommendations for TLS-based Applications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https://www.ietf.org/archive/id/draft-ietf-uta-pqc-app-00.html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ETSI - Quantum - Safe Cryptography, Computing Cryptography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https://www.etsi.org/technologies/quantum-safe-cryptography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Performance and Applicability of Post-Quantum Digital Signature Algorithms in Resource-Constrained Environments | MDPI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https://www.mdpi.com/1999-4893/16/11/518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Tink Roadmap  |  Google for Developers</w:t>
      </w:r>
    </w:p>
    <w:p>
      <w:pPr>
        <w:pStyle w:val="BodyText"/>
      </w:pPr>
      <w:hyperlink r:id="rId51">
        <w:r>
          <w:rPr>
            <w:rStyle w:val="Hyperlink"/>
          </w:rPr>
          <w:t xml:space="preserve">https://developers.google.com/tink/roadmap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Quantum Sundays |21⟩ Federal Transition to Post‑Quantum Cryptography — Kyber Key Exchange and Dilithium / SPHINCS+ Signatures | by Adnan Masood, PhD. | Medium</w:t>
      </w:r>
    </w:p>
    <w:p>
      <w:pPr>
        <w:pStyle w:val="BodyText"/>
      </w:pPr>
      <w:hyperlink r:id="rId52">
        <w:r>
          <w:rPr>
            <w:rStyle w:val="Hyperlink"/>
          </w:rPr>
          <w:t xml:space="preserve">https://medium.com/@adnanmasood/quantum-sundays-21-federal-transition-to-post-quantum-cryptography-kyber-key-exchange-and-bb1d3137e264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 Comparative Performance Evaluation of Kyber, sntrup761, and FrodoKEM for Post-Quantum Cryptography</w:t>
      </w:r>
    </w:p>
    <w:p>
      <w:pPr>
        <w:pStyle w:val="BodyText"/>
      </w:pPr>
      <w:hyperlink r:id="rId53">
        <w:r>
          <w:rPr>
            <w:rStyle w:val="Hyperlink"/>
          </w:rPr>
          <w:t xml:space="preserve">https://arxiv.org/html/2508.10023v1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wolfMQTT with Post-Quantum KYBER and FALCON - wolfSSL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https://www.wolfssl.com/wolfmqtt-post-quantum-kyber-falcon/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JEP 496: Quantum-Resistant Module-Lattice-Based Key Encapsulation Mechanism</w:t>
      </w:r>
    </w:p>
    <w:p>
      <w:pPr>
        <w:pStyle w:val="BodyText"/>
      </w:pPr>
      <w:hyperlink r:id="rId55">
        <w:r>
          <w:rPr>
            <w:rStyle w:val="Hyperlink"/>
          </w:rPr>
          <w:t xml:space="preserve">https://openjdk.org/jeps/496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JEP 497: Quantum-Resistant Module-Lattice-Based Digital Signature Algorithm</w:t>
      </w:r>
    </w:p>
    <w:p>
      <w:pPr>
        <w:pStyle w:val="BodyText"/>
      </w:pPr>
      <w:hyperlink r:id="rId56">
        <w:r>
          <w:rPr>
            <w:rStyle w:val="Hyperlink"/>
          </w:rPr>
          <w:t xml:space="preserve">https://openjdk.org/jeps/497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wolfTPM - Add TPM 2.0 v1.85 PQC Post-Quantum Support - wolfSSL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https://www.wolfssl.com/wolftpm-add-tpm-2-0-v1-85-pqc-post-quantum-support/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Latest NIST PQC Standards and more - Bouncy Castle Java 1.79 - Bouncycastle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https://www.bouncycastle.org/resources/latest-nist-pqc-standards-and-more-bouncy-castle-java-1-79/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arxiv.org/html/2508.10023v1" TargetMode="External" /><Relationship Type="http://schemas.openxmlformats.org/officeDocument/2006/relationships/hyperlink" Id="rId31" Target="https://arxiv.org/html/2508.10023v1#:~:text=match%20at%20L414%20The%20experimental,performance%20due%20to%20its%20computational" TargetMode="External" /><Relationship Type="http://schemas.openxmlformats.org/officeDocument/2006/relationships/hyperlink" Id="rId47" Target="https://blog.google/innovation-and-ai/technology/safety-security/cryptography-migration-timeline/" TargetMode="External" /><Relationship Type="http://schemas.openxmlformats.org/officeDocument/2006/relationships/hyperlink" Id="rId28" Target="https://blog.google/innovation-and-ai/technology/safety-security/cryptography-migration-timeline/#:~:text=As%20an%20example%20of%20our,leaders%20on%20their%20PQC%20Journey" TargetMode="External" /><Relationship Type="http://schemas.openxmlformats.org/officeDocument/2006/relationships/hyperlink" Id="rId23" Target="https://blog.google/innovation-and-ai/technology/safety-security/cryptography-migration-timeline/#:~:text=Google%E2%80%99s%20introducing%20a%202029%20timeline,quantum%20cryptography%20%28PQC%29%20migration" TargetMode="External" /><Relationship Type="http://schemas.openxmlformats.org/officeDocument/2006/relationships/hyperlink" Id="rId51" Target="https://developers.google.com/tink/roadmap" TargetMode="External" /><Relationship Type="http://schemas.openxmlformats.org/officeDocument/2006/relationships/hyperlink" Id="rId27" Target="https://developers.google.com/tink/roadmap#:~:text=Post" TargetMode="External" /><Relationship Type="http://schemas.openxmlformats.org/officeDocument/2006/relationships/hyperlink" Id="rId46" Target="https://downloads.bouncycastle.org/java/docs/PQC-Almanac.pdf" TargetMode="External" /><Relationship Type="http://schemas.openxmlformats.org/officeDocument/2006/relationships/hyperlink" Id="rId22" Target="https://downloads.bouncycastle.org/java/docs/PQC-Almanac.pdf#:~:text=ML,is%20also" TargetMode="External" /><Relationship Type="http://schemas.openxmlformats.org/officeDocument/2006/relationships/hyperlink" Id="rId52" Target="https://medium.com/@adnanmasood/quantum-sundays-21-federal-transition-to-post-quantum-cryptography-kyber-key-exchange-and-bb1d3137e264" TargetMode="External" /><Relationship Type="http://schemas.openxmlformats.org/officeDocument/2006/relationships/hyperlink" Id="rId30" Target="https://medium.com/@adnanmasood/quantum-sundays-21-federal-transition-to-post-quantum-cryptography-kyber-key-exchange-and-bb1d3137e264#:~:text=,%E2%80%94%20a%20hash%E2%80%91based%E2%80%A6" TargetMode="External" /><Relationship Type="http://schemas.openxmlformats.org/officeDocument/2006/relationships/hyperlink" Id="rId55" Target="https://openjdk.org/jeps/496" TargetMode="External" /><Relationship Type="http://schemas.openxmlformats.org/officeDocument/2006/relationships/hyperlink" Id="rId35" Target="https://openjdk.org/jeps/496#:~:text=KEM%20ks%20%3D%20KEM.getInstance%28%22ML,key" TargetMode="External" /><Relationship Type="http://schemas.openxmlformats.org/officeDocument/2006/relationships/hyperlink" Id="rId56" Target="https://openjdk.org/jeps/497" TargetMode="External" /><Relationship Type="http://schemas.openxmlformats.org/officeDocument/2006/relationships/hyperlink" Id="rId36" Target="https://openjdk.org/jeps/497#:~:text=Signature%20ss%20%3D%20Signature.getInstance%28%22ML,sig%20%3D%20ss.sign" TargetMode="External" /><Relationship Type="http://schemas.openxmlformats.org/officeDocument/2006/relationships/hyperlink" Id="rId58" Target="https://www.bouncycastle.org/resources/latest-nist-pqc-standards-and-more-bouncy-castle-java-1-79/" TargetMode="External" /><Relationship Type="http://schemas.openxmlformats.org/officeDocument/2006/relationships/hyperlink" Id="rId40" Target="https://www.bouncycastle.org/resources/latest-nist-pqc-standards-and-more-bouncy-castle-java-1-79/#:~:text=The%20Bouncy%20Castle%20Java%201,secure%20applications%20for%20encryption%20and" TargetMode="External" /><Relationship Type="http://schemas.openxmlformats.org/officeDocument/2006/relationships/hyperlink" Id="rId49" Target="https://www.etsi.org/technologies/quantum-safe-cryptography" TargetMode="External" /><Relationship Type="http://schemas.openxmlformats.org/officeDocument/2006/relationships/hyperlink" Id="rId25" Target="https://www.etsi.org/technologies/quantum-safe-cryptography#:~:text=To%20assist%20the%20community%20to,awareness%20across%20all%20business%20sectors" TargetMode="External" /><Relationship Type="http://schemas.openxmlformats.org/officeDocument/2006/relationships/hyperlink" Id="rId48" Target="https://www.ietf.org/archive/id/draft-ietf-uta-pqc-app-00.html" TargetMode="External" /><Relationship Type="http://schemas.openxmlformats.org/officeDocument/2006/relationships/hyperlink" Id="rId24" Target="https://www.ietf.org/archive/id/draft-ietf-uta-pqc-app-00.html#:~:text=Post,%C2%B6" TargetMode="External" /><Relationship Type="http://schemas.openxmlformats.org/officeDocument/2006/relationships/hyperlink" Id="rId50" Target="https://www.mdpi.com/1999-4893/16/11/518" TargetMode="External" /><Relationship Type="http://schemas.openxmlformats.org/officeDocument/2006/relationships/hyperlink" Id="rId26" Target="https://www.mdpi.com/1999-4893/16/11/518#:~:text=Of%20the%20algorithms%20chosen%2C%20Crystals,algorithms%20without%20compromising%20FIPS%20validation" TargetMode="External" /><Relationship Type="http://schemas.openxmlformats.org/officeDocument/2006/relationships/hyperlink" Id="rId32" Target="https://www.mdpi.com/1999-4893/16/11/518#:~:text=underscoring%20the%20importance%20of%20context,vehicle%20communication" TargetMode="External" /><Relationship Type="http://schemas.openxmlformats.org/officeDocument/2006/relationships/hyperlink" Id="rId45" Target="https://www.nist.gov/news-events/news/2024/08/nist-releases-first-3-finalized-post-quantum-encryption-standards" TargetMode="External" /><Relationship Type="http://schemas.openxmlformats.org/officeDocument/2006/relationships/hyperlink" Id="rId21" Target="https://www.nist.gov/news-events/news/2024/08/nist-releases-first-3-finalized-post-quantum-encryption-standards#:~:text=,Based%20Digital" TargetMode="External" /><Relationship Type="http://schemas.openxmlformats.org/officeDocument/2006/relationships/hyperlink" Id="rId54" Target="https://www.wolfssl.com/wolfmqtt-post-quantum-kyber-falcon/" TargetMode="External" /><Relationship Type="http://schemas.openxmlformats.org/officeDocument/2006/relationships/hyperlink" Id="rId34" Target="https://www.wolfssl.com/wolfmqtt-post-quantum-kyber-falcon/#:~:text=This%20blog%20post%20is%20to,support" TargetMode="External" /><Relationship Type="http://schemas.openxmlformats.org/officeDocument/2006/relationships/hyperlink" Id="rId57" Target="https://www.wolfssl.com/wolftpm-add-tpm-2-0-v1-85-pqc-post-quantum-support/" TargetMode="External" /><Relationship Type="http://schemas.openxmlformats.org/officeDocument/2006/relationships/hyperlink" Id="rId37" Target="https://www.wolfssl.com/wolftpm-add-tpm-2-0-v1-85-pqc-post-quantum-support/#:~:text=This%20update%20introduces%20support%20for,KEM%20%28Kyb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arxiv.org/html/2508.10023v1" TargetMode="External" /><Relationship Type="http://schemas.openxmlformats.org/officeDocument/2006/relationships/hyperlink" Id="rId31" Target="https://arxiv.org/html/2508.10023v1#:~:text=match%20at%20L414%20The%20experimental,performance%20due%20to%20its%20computational" TargetMode="External" /><Relationship Type="http://schemas.openxmlformats.org/officeDocument/2006/relationships/hyperlink" Id="rId47" Target="https://blog.google/innovation-and-ai/technology/safety-security/cryptography-migration-timeline/" TargetMode="External" /><Relationship Type="http://schemas.openxmlformats.org/officeDocument/2006/relationships/hyperlink" Id="rId28" Target="https://blog.google/innovation-and-ai/technology/safety-security/cryptography-migration-timeline/#:~:text=As%20an%20example%20of%20our,leaders%20on%20their%20PQC%20Journey" TargetMode="External" /><Relationship Type="http://schemas.openxmlformats.org/officeDocument/2006/relationships/hyperlink" Id="rId23" Target="https://blog.google/innovation-and-ai/technology/safety-security/cryptography-migration-timeline/#:~:text=Google%E2%80%99s%20introducing%20a%202029%20timeline,quantum%20cryptography%20%28PQC%29%20migration" TargetMode="External" /><Relationship Type="http://schemas.openxmlformats.org/officeDocument/2006/relationships/hyperlink" Id="rId51" Target="https://developers.google.com/tink/roadmap" TargetMode="External" /><Relationship Type="http://schemas.openxmlformats.org/officeDocument/2006/relationships/hyperlink" Id="rId27" Target="https://developers.google.com/tink/roadmap#:~:text=Post" TargetMode="External" /><Relationship Type="http://schemas.openxmlformats.org/officeDocument/2006/relationships/hyperlink" Id="rId46" Target="https://downloads.bouncycastle.org/java/docs/PQC-Almanac.pdf" TargetMode="External" /><Relationship Type="http://schemas.openxmlformats.org/officeDocument/2006/relationships/hyperlink" Id="rId22" Target="https://downloads.bouncycastle.org/java/docs/PQC-Almanac.pdf#:~:text=ML,is%20also" TargetMode="External" /><Relationship Type="http://schemas.openxmlformats.org/officeDocument/2006/relationships/hyperlink" Id="rId52" Target="https://medium.com/@adnanmasood/quantum-sundays-21-federal-transition-to-post-quantum-cryptography-kyber-key-exchange-and-bb1d3137e264" TargetMode="External" /><Relationship Type="http://schemas.openxmlformats.org/officeDocument/2006/relationships/hyperlink" Id="rId30" Target="https://medium.com/@adnanmasood/quantum-sundays-21-federal-transition-to-post-quantum-cryptography-kyber-key-exchange-and-bb1d3137e264#:~:text=,%E2%80%94%20a%20hash%E2%80%91based%E2%80%A6" TargetMode="External" /><Relationship Type="http://schemas.openxmlformats.org/officeDocument/2006/relationships/hyperlink" Id="rId55" Target="https://openjdk.org/jeps/496" TargetMode="External" /><Relationship Type="http://schemas.openxmlformats.org/officeDocument/2006/relationships/hyperlink" Id="rId35" Target="https://openjdk.org/jeps/496#:~:text=KEM%20ks%20%3D%20KEM.getInstance%28%22ML,key" TargetMode="External" /><Relationship Type="http://schemas.openxmlformats.org/officeDocument/2006/relationships/hyperlink" Id="rId56" Target="https://openjdk.org/jeps/497" TargetMode="External" /><Relationship Type="http://schemas.openxmlformats.org/officeDocument/2006/relationships/hyperlink" Id="rId36" Target="https://openjdk.org/jeps/497#:~:text=Signature%20ss%20%3D%20Signature.getInstance%28%22ML,sig%20%3D%20ss.sign" TargetMode="External" /><Relationship Type="http://schemas.openxmlformats.org/officeDocument/2006/relationships/hyperlink" Id="rId58" Target="https://www.bouncycastle.org/resources/latest-nist-pqc-standards-and-more-bouncy-castle-java-1-79/" TargetMode="External" /><Relationship Type="http://schemas.openxmlformats.org/officeDocument/2006/relationships/hyperlink" Id="rId40" Target="https://www.bouncycastle.org/resources/latest-nist-pqc-standards-and-more-bouncy-castle-java-1-79/#:~:text=The%20Bouncy%20Castle%20Java%201,secure%20applications%20for%20encryption%20and" TargetMode="External" /><Relationship Type="http://schemas.openxmlformats.org/officeDocument/2006/relationships/hyperlink" Id="rId49" Target="https://www.etsi.org/technologies/quantum-safe-cryptography" TargetMode="External" /><Relationship Type="http://schemas.openxmlformats.org/officeDocument/2006/relationships/hyperlink" Id="rId25" Target="https://www.etsi.org/technologies/quantum-safe-cryptography#:~:text=To%20assist%20the%20community%20to,awareness%20across%20all%20business%20sectors" TargetMode="External" /><Relationship Type="http://schemas.openxmlformats.org/officeDocument/2006/relationships/hyperlink" Id="rId48" Target="https://www.ietf.org/archive/id/draft-ietf-uta-pqc-app-00.html" TargetMode="External" /><Relationship Type="http://schemas.openxmlformats.org/officeDocument/2006/relationships/hyperlink" Id="rId24" Target="https://www.ietf.org/archive/id/draft-ietf-uta-pqc-app-00.html#:~:text=Post,%C2%B6" TargetMode="External" /><Relationship Type="http://schemas.openxmlformats.org/officeDocument/2006/relationships/hyperlink" Id="rId50" Target="https://www.mdpi.com/1999-4893/16/11/518" TargetMode="External" /><Relationship Type="http://schemas.openxmlformats.org/officeDocument/2006/relationships/hyperlink" Id="rId26" Target="https://www.mdpi.com/1999-4893/16/11/518#:~:text=Of%20the%20algorithms%20chosen%2C%20Crystals,algorithms%20without%20compromising%20FIPS%20validation" TargetMode="External" /><Relationship Type="http://schemas.openxmlformats.org/officeDocument/2006/relationships/hyperlink" Id="rId32" Target="https://www.mdpi.com/1999-4893/16/11/518#:~:text=underscoring%20the%20importance%20of%20context,vehicle%20communication" TargetMode="External" /><Relationship Type="http://schemas.openxmlformats.org/officeDocument/2006/relationships/hyperlink" Id="rId45" Target="https://www.nist.gov/news-events/news/2024/08/nist-releases-first-3-finalized-post-quantum-encryption-standards" TargetMode="External" /><Relationship Type="http://schemas.openxmlformats.org/officeDocument/2006/relationships/hyperlink" Id="rId21" Target="https://www.nist.gov/news-events/news/2024/08/nist-releases-first-3-finalized-post-quantum-encryption-standards#:~:text=,Based%20Digital" TargetMode="External" /><Relationship Type="http://schemas.openxmlformats.org/officeDocument/2006/relationships/hyperlink" Id="rId54" Target="https://www.wolfssl.com/wolfmqtt-post-quantum-kyber-falcon/" TargetMode="External" /><Relationship Type="http://schemas.openxmlformats.org/officeDocument/2006/relationships/hyperlink" Id="rId34" Target="https://www.wolfssl.com/wolfmqtt-post-quantum-kyber-falcon/#:~:text=This%20blog%20post%20is%20to,support" TargetMode="External" /><Relationship Type="http://schemas.openxmlformats.org/officeDocument/2006/relationships/hyperlink" Id="rId57" Target="https://www.wolfssl.com/wolftpm-add-tpm-2-0-v1-85-pqc-post-quantum-support/" TargetMode="External" /><Relationship Type="http://schemas.openxmlformats.org/officeDocument/2006/relationships/hyperlink" Id="rId37" Target="https://www.wolfssl.com/wolftpm-add-tpm-2-0-v1-85-pqc-post-quantum-support/#:~:text=This%20update%20introduces%20support%20for,KEM%20%28Kyb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2026-03-29T14:05:56Z</dcterms:created>
  <dcterms:modified xsi:type="dcterms:W3CDTF">2026-03-29T14:05:56Z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