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7D32"/>
          <w:sz w:val="52"/>
          <w:szCs w:val="52"/>
        </w:rPr>
        <w:t xml:space="preserve">SMARTAGRIMARKET V2</w:t>
      </w:r>
    </w:p>
    <w:p>
      <w:pPr>
        <w:pBdr>
          <w:bottom w:val="single" w:color="C9A227" w:sz="12" w:space="8"/>
        </w:pBdr>
        <w:spacing w:after="200"/>
        <w:jc w:val="center"/>
      </w:pPr>
      <w:r>
        <w:rPr>
          <w:sz w:val="30"/>
          <w:szCs w:val="30"/>
        </w:rPr>
        <w:t xml:space="preserve">Document de cadrage fonctionnel</w:t>
      </w:r>
    </w:p>
    <w:p>
      <w:pPr>
        <w:spacing w:after="80" w:before="300"/>
        <w:jc w:val="center"/>
      </w:pPr>
      <w:r>
        <w:rPr>
          <w:sz w:val="24"/>
          <w:szCs w:val="24"/>
        </w:rPr>
        <w:t xml:space="preserve">Rencontre de conception avec l'équipe de développement</w:t>
      </w:r>
    </w:p>
    <w:p>
      <w:pPr>
        <w:spacing w:after="80"/>
        <w:jc w:val="center"/>
      </w:pPr>
      <w:r>
        <w:rPr>
          <w:color w:val="555555"/>
          <w:sz w:val="22"/>
          <w:szCs w:val="22"/>
        </w:rPr>
        <w:t xml:space="preserve">SmartAgriChange SARL - Ouagadougou, Burkina Faso</w:t>
      </w:r>
    </w:p>
    <w:p>
      <w:pPr>
        <w:jc w:val="center"/>
      </w:pPr>
      <w:r>
        <w:rPr>
          <w:color w:val="555555"/>
          <w:sz w:val="22"/>
          <w:szCs w:val="22"/>
        </w:rPr>
        <w:t xml:space="preserve">Juin 2026</w:t>
      </w:r>
    </w:p>
    <w:p>
      <w:pPr>
        <w:pageBreakBefore/>
      </w:pPr>
    </w:p>
    <w:p>
      <w:pPr>
        <w:pStyle w:val="Heading1"/>
      </w:pPr>
      <w:r>
        <w:t xml:space="preserve">1. Contexte et vision</w:t>
      </w:r>
    </w:p>
    <w:p>
      <w:pPr>
        <w:spacing w:after="120"/>
      </w:pPr>
      <w:r>
        <w:t xml:space="preserve">SmartAgriMarket est la marketplace agricole du groupe SmartAgriChange. La nouvelle version vise un objectif clair : permettre aux producteurs de vendre directement leurs produits aux acheteurs, sans intermédiaire, tout en gardant l'ensemble de la relation commerciale à l'intérieur de la plateforme.</w:t>
      </w:r>
    </w:p>
    <w:p>
      <w:pPr>
        <w:spacing w:after="120"/>
      </w:pPr>
      <w:r>
        <w:t xml:space="preserve">La plateforme est exclusivement agricole. Elle ne se limite pas à la mise en relation : elle couvre la transaction, la logistique, l'information sur les prix et la montée en compétences des producteurs. C'est ce qui la distingue d'un simple site de petites annonces.</w:t>
      </w:r>
    </w:p>
    <w:p>
      <w:pPr>
        <w:spacing w:after="120"/>
      </w:pPr>
      <w:r>
        <w:t xml:space="preserve">Principe structurant : toute la valeur reste sur la plateforme. Les échanges entre acheteurs et vendeurs se font via une messagerie interne, sans possibilité d'échanger des coordonnées personnelles. Ce verrou protège le modèle économique et la qualité de service.</w:t>
      </w:r>
    </w:p>
    <w:p>
      <w:pPr>
        <w:pStyle w:val="Heading1"/>
      </w:pPr>
      <w:r>
        <w:t xml:space="preserve">2. Objectifs de la rencontre</w:t>
      </w:r>
    </w:p>
    <w:p>
      <w:pPr>
        <w:pStyle w:val="ListParagraph"/>
        <w:numPr>
          <w:ilvl w:val="0"/>
          <w:numId w:val="2"/>
        </w:numPr>
        <w:spacing w:after="80"/>
      </w:pPr>
      <w:r>
        <w:t xml:space="preserve">Valider le périmètre fonctionnel de la V2 et le découpage en phases (MVP puis extensions).</w:t>
      </w:r>
    </w:p>
    <w:p>
      <w:pPr>
        <w:pStyle w:val="ListParagraph"/>
        <w:numPr>
          <w:ilvl w:val="0"/>
          <w:numId w:val="2"/>
        </w:numPr>
        <w:spacing w:after="80"/>
      </w:pPr>
      <w:r>
        <w:t xml:space="preserve">Identifier les contraintes techniques et les choix d'architecture (web, mobile, hors-ligne, paiement).</w:t>
      </w:r>
    </w:p>
    <w:p>
      <w:pPr>
        <w:pStyle w:val="ListParagraph"/>
        <w:numPr>
          <w:ilvl w:val="0"/>
          <w:numId w:val="2"/>
        </w:numPr>
        <w:spacing w:after="80"/>
      </w:pPr>
      <w:r>
        <w:t xml:space="preserve">Obtenir une estimation de charge, de coûts et de délais par module.</w:t>
      </w:r>
    </w:p>
    <w:p>
      <w:pPr>
        <w:pStyle w:val="ListParagraph"/>
        <w:numPr>
          <w:ilvl w:val="0"/>
          <w:numId w:val="2"/>
        </w:numPr>
        <w:spacing w:after="80"/>
      </w:pPr>
      <w:r>
        <w:t xml:space="preserve">Trancher les questions ouvertes listées en section 6.</w:t>
      </w:r>
    </w:p>
    <w:p>
      <w:pPr>
        <w:pStyle w:val="Heading1"/>
      </w:pPr>
      <w:r>
        <w:t xml:space="preserve">3. Utilisateurs et rôles</w:t>
      </w:r>
    </w:p>
    <w:p>
      <w:pPr>
        <w:pStyle w:val="ListParagraph"/>
        <w:numPr>
          <w:ilvl w:val="0"/>
          <w:numId w:val="2"/>
        </w:numPr>
        <w:spacing w:after="80"/>
      </w:pPr>
      <w:r>
        <w:rPr>
          <w:b/>
          <w:bCs/>
        </w:rPr>
        <w:t xml:space="preserve">Producteur / vendeur : </w:t>
      </w:r>
      <w:r>
        <w:t xml:space="preserve">publie ses produits et son matériel, gère ses stocks et ses commandes, échange avec les acheteurs via la messagerie interne, suit ses ventes.</w:t>
      </w:r>
    </w:p>
    <w:p>
      <w:pPr>
        <w:pStyle w:val="ListParagraph"/>
        <w:numPr>
          <w:ilvl w:val="0"/>
          <w:numId w:val="2"/>
        </w:numPr>
        <w:spacing w:after="80"/>
      </w:pPr>
      <w:r>
        <w:rPr>
          <w:b/>
          <w:bCs/>
        </w:rPr>
        <w:t xml:space="preserve">Acheteur : </w:t>
      </w:r>
      <w:r>
        <w:t xml:space="preserve">particulier, commerçant, transformateur ou institution ; recherche des produits par catégorie et par localité, commande, paie, suit la livraison.</w:t>
      </w:r>
    </w:p>
    <w:p>
      <w:pPr>
        <w:pStyle w:val="ListParagraph"/>
        <w:numPr>
          <w:ilvl w:val="0"/>
          <w:numId w:val="2"/>
        </w:numPr>
        <w:spacing w:after="80"/>
      </w:pPr>
      <w:r>
        <w:rPr>
          <w:b/>
          <w:bCs/>
        </w:rPr>
        <w:t xml:space="preserve">Administrateur plateforme : </w:t>
      </w:r>
      <w:r>
        <w:t xml:space="preserve">valide les comptes vendeurs, modère les annonces, la messagerie et le forum, publie les cours des semences et les produits vedettes, supervise les litiges.</w:t>
      </w:r>
    </w:p>
    <w:p>
      <w:pPr>
        <w:pStyle w:val="ListParagraph"/>
        <w:numPr>
          <w:ilvl w:val="0"/>
          <w:numId w:val="2"/>
        </w:numPr>
        <w:spacing w:after="80"/>
      </w:pPr>
      <w:r>
        <w:rPr>
          <w:b/>
          <w:bCs/>
        </w:rPr>
        <w:t xml:space="preserve">Partenaire logistique : </w:t>
      </w:r>
      <w:r>
        <w:t xml:space="preserve">reçoit les demandes de livraison, met à jour les statuts de course, confirme la livraison.</w:t>
      </w:r>
    </w:p>
    <w:p>
      <w:pPr>
        <w:spacing w:after="120"/>
      </w:pPr>
      <w:r>
        <w:t xml:space="preserve">Rôle à confirmer : un profil « agent relais » (saisie des prix locaux, accompagnement des producteurs peu connectés) pourrait être ajouté, en cohérence avec le modèle déjà exploré pour la traçabilité.</w:t>
      </w:r>
    </w:p>
    <w:p>
      <w:pPr>
        <w:pStyle w:val="Heading1"/>
      </w:pPr>
      <w:r>
        <w:t xml:space="preserve">4. Périmètre fonctionnel : les six modules</w:t>
      </w:r>
    </w:p>
    <w:p>
      <w:pPr>
        <w:pStyle w:val="Heading2"/>
      </w:pPr>
      <w:r>
        <w:t xml:space="preserve">Module 1 - Marketplace de produits agricoles</w:t>
      </w:r>
    </w:p>
    <w:p>
      <w:pPr>
        <w:pStyle w:val="ListParagraph"/>
        <w:numPr>
          <w:ilvl w:val="0"/>
          <w:numId w:val="2"/>
        </w:numPr>
        <w:spacing w:after="80"/>
      </w:pPr>
      <w:r>
        <w:t xml:space="preserve">Catalogue 100 % agricole : produits vivriers, maraîchers, céréales, semences, intrants, produits transformés (catégories exactes à valider ensemble).</w:t>
      </w:r>
    </w:p>
    <w:p>
      <w:pPr>
        <w:pStyle w:val="ListParagraph"/>
        <w:numPr>
          <w:ilvl w:val="0"/>
          <w:numId w:val="2"/>
        </w:numPr>
        <w:spacing w:after="80"/>
      </w:pPr>
      <w:r>
        <w:t xml:space="preserve">Fiche produit : photos, description, prix, unité de vente, quantité disponible, localité du producteur, conditions de retrait ou de livraison.</w:t>
      </w:r>
    </w:p>
    <w:p>
      <w:pPr>
        <w:pStyle w:val="ListParagraph"/>
        <w:numPr>
          <w:ilvl w:val="0"/>
          <w:numId w:val="2"/>
        </w:numPr>
        <w:spacing w:after="80"/>
      </w:pPr>
      <w:r>
        <w:t xml:space="preserve">Recherche et filtres : catégorie, localité, prix, disponibilité.</w:t>
      </w:r>
    </w:p>
    <w:p>
      <w:pPr>
        <w:pStyle w:val="ListParagraph"/>
        <w:numPr>
          <w:ilvl w:val="0"/>
          <w:numId w:val="2"/>
        </w:numPr>
        <w:spacing w:after="80"/>
      </w:pPr>
      <w:r>
        <w:t xml:space="preserve">Tunnel de commande : panier, validation, paiement, suivi de commande.</w:t>
      </w:r>
    </w:p>
    <w:p>
      <w:pPr>
        <w:pStyle w:val="ListParagraph"/>
        <w:numPr>
          <w:ilvl w:val="0"/>
          <w:numId w:val="2"/>
        </w:numPr>
        <w:spacing w:after="80"/>
      </w:pPr>
      <w:r>
        <w:t xml:space="preserve">Tableau de bord vendeur : gestion des annonces, des stocks et de l'historique des ventes.</w:t>
      </w:r>
    </w:p>
    <w:p>
      <w:pPr>
        <w:pStyle w:val="ListParagraph"/>
        <w:numPr>
          <w:ilvl w:val="0"/>
          <w:numId w:val="2"/>
        </w:numPr>
        <w:spacing w:after="80"/>
      </w:pPr>
      <w:r>
        <w:t xml:space="preserve">Système d'évaluation : notes et avis acheteurs sur les vendeurs (et inversement), pour bâtir la confiance.</w:t>
      </w:r>
    </w:p>
    <w:p>
      <w:pPr>
        <w:pStyle w:val="Heading2"/>
      </w:pPr>
      <w:r>
        <w:t xml:space="preserve">Module 2 - Bourse d'échange de matériel agricole</w:t>
      </w:r>
    </w:p>
    <w:p>
      <w:pPr>
        <w:pStyle w:val="ListParagraph"/>
        <w:numPr>
          <w:ilvl w:val="0"/>
          <w:numId w:val="2"/>
        </w:numPr>
        <w:spacing w:after="80"/>
      </w:pPr>
      <w:r>
        <w:t xml:space="preserve">Espace dédié au matériel : vente, achat et échange (troc) d'équipements agricoles entre membres.</w:t>
      </w:r>
    </w:p>
    <w:p>
      <w:pPr>
        <w:pStyle w:val="ListParagraph"/>
        <w:numPr>
          <w:ilvl w:val="0"/>
          <w:numId w:val="2"/>
        </w:numPr>
        <w:spacing w:after="80"/>
      </w:pPr>
      <w:r>
        <w:t xml:space="preserve">Annonces avec état du matériel (neuf, occasion), photos, localité.</w:t>
      </w:r>
    </w:p>
    <w:p>
      <w:pPr>
        <w:pStyle w:val="ListParagraph"/>
        <w:numPr>
          <w:ilvl w:val="0"/>
          <w:numId w:val="2"/>
        </w:numPr>
        <w:spacing w:after="80"/>
      </w:pPr>
      <w:r>
        <w:t xml:space="preserve">Option « proposition d'échange » : un membre peut proposer un matériel contre un autre, la négociation se faisant dans la messagerie interne.</w:t>
      </w:r>
    </w:p>
    <w:p>
      <w:pPr>
        <w:pStyle w:val="ListParagraph"/>
        <w:numPr>
          <w:ilvl w:val="0"/>
          <w:numId w:val="2"/>
        </w:numPr>
        <w:spacing w:after="80"/>
      </w:pPr>
      <w:r>
        <w:t xml:space="preserve">Point à trancher : faut-il aussi une option de location de matériel ? Forte demande potentielle chez les petits producteurs, mais complexité supplémentaire (caution, calendrier, état des lieux).</w:t>
      </w:r>
    </w:p>
    <w:p>
      <w:pPr>
        <w:pStyle w:val="Heading2"/>
      </w:pPr>
      <w:r>
        <w:t xml:space="preserve">Module 3 - Messagerie interne sécurisée</w:t>
      </w:r>
    </w:p>
    <w:p>
      <w:pPr>
        <w:pStyle w:val="ListParagraph"/>
        <w:numPr>
          <w:ilvl w:val="0"/>
          <w:numId w:val="2"/>
        </w:numPr>
        <w:spacing w:after="80"/>
      </w:pPr>
      <w:r>
        <w:t xml:space="preserve">Discussion directe acheteur-vendeur rattachée à une annonce ou à une commande.</w:t>
      </w:r>
    </w:p>
    <w:p>
      <w:pPr>
        <w:pStyle w:val="ListParagraph"/>
        <w:numPr>
          <w:ilvl w:val="0"/>
          <w:numId w:val="2"/>
        </w:numPr>
        <w:spacing w:after="80"/>
      </w:pPr>
      <w:r>
        <w:t xml:space="preserve">Verrou anti-contournement : détection et masquage automatiques des numéros de téléphone, adresses e-mail et liens externes dans les messages.</w:t>
      </w:r>
    </w:p>
    <w:p>
      <w:pPr>
        <w:pStyle w:val="ListParagraph"/>
        <w:numPr>
          <w:ilvl w:val="0"/>
          <w:numId w:val="2"/>
        </w:numPr>
        <w:spacing w:after="80"/>
      </w:pPr>
      <w:r>
        <w:t xml:space="preserve">Avertissements progressifs puis sanctions (suspension) en cas de tentatives répétées de contournement.</w:t>
      </w:r>
    </w:p>
    <w:p>
      <w:pPr>
        <w:pStyle w:val="ListParagraph"/>
        <w:numPr>
          <w:ilvl w:val="0"/>
          <w:numId w:val="2"/>
        </w:numPr>
        <w:spacing w:after="80"/>
      </w:pPr>
      <w:r>
        <w:t xml:space="preserve">Notifications (in-app et, si possible, SMS ou push) pour les nouveaux messages et les étapes de commande.</w:t>
      </w:r>
    </w:p>
    <w:p>
      <w:pPr>
        <w:spacing w:after="120"/>
      </w:pPr>
      <w:r>
        <w:t xml:space="preserve">Point de vigilance assumé : aucun filtre ne bloque 100 % des contournements (numéros dictés en toutes lettres, photos contenant un numéro, etc.). Le verrou technique doit donc être complété par un modèle économique qui rend la plateforme plus avantageuse que le hors-plateforme : paiement sécurisé, logistique intégrée, visibilité, litiges arbitrés. Ce point doit être discuté franchement avec les développeurs.</w:t>
      </w:r>
    </w:p>
    <w:p>
      <w:pPr>
        <w:pStyle w:val="Heading2"/>
      </w:pPr>
      <w:r>
        <w:t xml:space="preserve">Module 4 - Forum et espace apprentissage</w:t>
      </w:r>
    </w:p>
    <w:p>
      <w:pPr>
        <w:pStyle w:val="ListParagraph"/>
        <w:numPr>
          <w:ilvl w:val="0"/>
          <w:numId w:val="2"/>
        </w:numPr>
        <w:spacing w:after="80"/>
      </w:pPr>
      <w:r>
        <w:t xml:space="preserve">Forum communautaire par thématiques (cultures, élevage, intrants, irrigation, commercialisation...).</w:t>
      </w:r>
    </w:p>
    <w:p>
      <w:pPr>
        <w:pStyle w:val="ListParagraph"/>
        <w:numPr>
          <w:ilvl w:val="0"/>
          <w:numId w:val="2"/>
        </w:numPr>
        <w:spacing w:after="80"/>
      </w:pPr>
      <w:r>
        <w:t xml:space="preserve">Espace apprentissage dédié aux nouvelles techniques agricoles : articles, fiches pratiques, vidéos, tutoriels.</w:t>
      </w:r>
    </w:p>
    <w:p>
      <w:pPr>
        <w:pStyle w:val="ListParagraph"/>
        <w:numPr>
          <w:ilvl w:val="0"/>
          <w:numId w:val="2"/>
        </w:numPr>
        <w:spacing w:after="80"/>
      </w:pPr>
      <w:r>
        <w:t xml:space="preserve">Contenus pédagogiques validés avant publication (par l'équipe SmartAgriChange et, à terme, des partenaires techniques comme les instituts de recherche).</w:t>
      </w:r>
    </w:p>
    <w:p>
      <w:pPr>
        <w:pStyle w:val="ListParagraph"/>
        <w:numPr>
          <w:ilvl w:val="0"/>
          <w:numId w:val="2"/>
        </w:numPr>
        <w:spacing w:after="80"/>
      </w:pPr>
      <w:r>
        <w:t xml:space="preserve">Mêmes règles de modération que la messagerie : pas d'échange de coordonnées dans le forum.</w:t>
      </w:r>
    </w:p>
    <w:p>
      <w:pPr>
        <w:pStyle w:val="ListParagraph"/>
        <w:numPr>
          <w:ilvl w:val="0"/>
          <w:numId w:val="2"/>
        </w:numPr>
        <w:spacing w:after="80"/>
      </w:pPr>
      <w:r>
        <w:t xml:space="preserve">Synergie possible avec l'écosystème SmartAgriChange : les contenus peuvent s'appuyer sur l'expertise déjà développée autour de SmartLite1.</w:t>
      </w:r>
    </w:p>
    <w:p>
      <w:pPr>
        <w:pStyle w:val="Heading2"/>
      </w:pPr>
      <w:r>
        <w:t xml:space="preserve">Module 5 - Service logistique</w:t>
      </w:r>
    </w:p>
    <w:p>
      <w:pPr>
        <w:pStyle w:val="ListParagraph"/>
        <w:numPr>
          <w:ilvl w:val="0"/>
          <w:numId w:val="2"/>
        </w:numPr>
        <w:spacing w:after="80"/>
      </w:pPr>
      <w:r>
        <w:t xml:space="preserve">Demande de livraison intégrée à la commande : l'acheteur choisit retrait sur place ou livraison.</w:t>
      </w:r>
    </w:p>
    <w:p>
      <w:pPr>
        <w:pStyle w:val="ListParagraph"/>
        <w:numPr>
          <w:ilvl w:val="0"/>
          <w:numId w:val="2"/>
        </w:numPr>
        <w:spacing w:after="80"/>
      </w:pPr>
      <w:r>
        <w:t xml:space="preserve">Calcul des frais de livraison selon distance ou zone (grille tarifaire à définir).</w:t>
      </w:r>
    </w:p>
    <w:p>
      <w:pPr>
        <w:pStyle w:val="ListParagraph"/>
        <w:numPr>
          <w:ilvl w:val="0"/>
          <w:numId w:val="2"/>
        </w:numPr>
        <w:spacing w:after="80"/>
      </w:pPr>
      <w:r>
        <w:t xml:space="preserve">Suivi de commande par statuts : confirmée, en préparation, en cours de livraison, livrée.</w:t>
      </w:r>
    </w:p>
    <w:p>
      <w:pPr>
        <w:pStyle w:val="ListParagraph"/>
        <w:numPr>
          <w:ilvl w:val="0"/>
          <w:numId w:val="2"/>
        </w:numPr>
        <w:spacing w:after="80"/>
      </w:pPr>
      <w:r>
        <w:t xml:space="preserve">Interface partenaire logistique pour la prise en charge et la mise à jour des statuts.</w:t>
      </w:r>
    </w:p>
    <w:p>
      <w:pPr>
        <w:pStyle w:val="ListParagraph"/>
        <w:numPr>
          <w:ilvl w:val="0"/>
          <w:numId w:val="2"/>
        </w:numPr>
        <w:spacing w:after="80"/>
      </w:pPr>
      <w:r>
        <w:t xml:space="preserve">Modèle opérationnel à trancher : flotte propre, transporteurs partenaires ou réseau d'agents relais (voir questions ouvertes).</w:t>
      </w:r>
    </w:p>
    <w:p>
      <w:pPr>
        <w:pStyle w:val="Heading2"/>
      </w:pPr>
      <w:r>
        <w:t xml:space="preserve">Module 6 - Page d'accueil : vitrine et information marché</w:t>
      </w:r>
    </w:p>
    <w:p>
      <w:pPr>
        <w:pStyle w:val="ListParagraph"/>
        <w:numPr>
          <w:ilvl w:val="0"/>
          <w:numId w:val="2"/>
        </w:numPr>
        <w:spacing w:after="80"/>
      </w:pPr>
      <w:r>
        <w:t xml:space="preserve">Espace « Produits vedettes de la semaine » : sélection mise en avant, gérée par l'administrateur (avec, à terme, des critères automatiques : meilleures ventes, nouveautés, saisonnalité).</w:t>
      </w:r>
    </w:p>
    <w:p>
      <w:pPr>
        <w:pStyle w:val="ListParagraph"/>
        <w:numPr>
          <w:ilvl w:val="0"/>
          <w:numId w:val="2"/>
        </w:numPr>
        <w:spacing w:after="80"/>
      </w:pPr>
      <w:r>
        <w:t xml:space="preserve">Espace « Cours des semences » : affichage des prix par localité, avec date de dernière mise à jour visible pour garantir la crédibilité de l'information.</w:t>
      </w:r>
    </w:p>
    <w:p>
      <w:pPr>
        <w:pStyle w:val="ListParagraph"/>
        <w:numPr>
          <w:ilvl w:val="0"/>
          <w:numId w:val="2"/>
        </w:numPr>
        <w:spacing w:after="80"/>
      </w:pPr>
      <w:r>
        <w:t xml:space="preserve">Question critique à trancher : la source des données de prix. Sans source fiable et actualisée, ce module perd toute valeur et peut même nuire à la crédibilité du site. Trois pistes à évaluer : saisie par des agents relais sur le terrain, remontée par les coopératives partenaires, ou reprise de données institutionnelles existantes (systèmes d'information sur les marchés agricoles - disponibilité et conditions d'accès à vérifier).</w:t>
      </w:r>
    </w:p>
    <w:p>
      <w:pPr>
        <w:pStyle w:val="ListParagraph"/>
        <w:numPr>
          <w:ilvl w:val="0"/>
          <w:numId w:val="2"/>
        </w:numPr>
        <w:spacing w:after="80"/>
      </w:pPr>
      <w:r>
        <w:t xml:space="preserve">Accès rapide aux grandes catégories, à la recherche et aux dernières annonces.</w:t>
      </w:r>
    </w:p>
    <w:p>
      <w:pPr>
        <w:pStyle w:val="Heading1"/>
      </w:pPr>
      <w:r>
        <w:t xml:space="preserve">5. Exigences non fonctionnelles</w:t>
      </w:r>
    </w:p>
    <w:p>
      <w:pPr>
        <w:pStyle w:val="ListParagraph"/>
        <w:numPr>
          <w:ilvl w:val="0"/>
          <w:numId w:val="2"/>
        </w:numPr>
        <w:spacing w:after="80"/>
      </w:pPr>
      <w:r>
        <w:rPr>
          <w:b/>
          <w:bCs/>
        </w:rPr>
        <w:t xml:space="preserve">Mobile d'abord : </w:t>
      </w:r>
      <w:r>
        <w:t xml:space="preserve">la grande majorité des utilisateurs accédera au site depuis un smartphone, souvent d'entrée de gamme. Interface légère, pages rapides, images compressées.</w:t>
      </w:r>
    </w:p>
    <w:p>
      <w:pPr>
        <w:pStyle w:val="ListParagraph"/>
        <w:numPr>
          <w:ilvl w:val="0"/>
          <w:numId w:val="2"/>
        </w:numPr>
        <w:spacing w:after="80"/>
      </w:pPr>
      <w:r>
        <w:rPr>
          <w:b/>
          <w:bCs/>
        </w:rPr>
        <w:t xml:space="preserve">Faible connectivité : </w:t>
      </w:r>
      <w:r>
        <w:t xml:space="preserve">le site doit rester utilisable en zone de couverture réseau faible ou instable. Les stratégies possibles (cache, mode dégradé, application légère) sont à discuter avec l'équipe.</w:t>
      </w:r>
    </w:p>
    <w:p>
      <w:pPr>
        <w:pStyle w:val="ListParagraph"/>
        <w:numPr>
          <w:ilvl w:val="0"/>
          <w:numId w:val="2"/>
        </w:numPr>
        <w:spacing w:after="80"/>
      </w:pPr>
      <w:r>
        <w:rPr>
          <w:b/>
          <w:bCs/>
        </w:rPr>
        <w:t xml:space="preserve">Paiement : </w:t>
      </w:r>
      <w:r>
        <w:t xml:space="preserve">intégration du mobile money dès que possible (Orange Money, Moov Money - à confirmer selon l'agrégateur retenu). Une piste existe déjà via le partenariat avec YengaPay.</w:t>
      </w:r>
    </w:p>
    <w:p>
      <w:pPr>
        <w:pStyle w:val="ListParagraph"/>
        <w:numPr>
          <w:ilvl w:val="0"/>
          <w:numId w:val="2"/>
        </w:numPr>
        <w:spacing w:after="80"/>
      </w:pPr>
      <w:r>
        <w:rPr>
          <w:b/>
          <w:bCs/>
        </w:rPr>
        <w:t xml:space="preserve">Sécurité : </w:t>
      </w:r>
      <w:r>
        <w:t xml:space="preserve">protection des données personnelles des utilisateurs, sécurisation des transactions, conformité avec la réglementation locale sur les données (exigences exactes à vérifier avec un conseil juridique).</w:t>
      </w:r>
    </w:p>
    <w:p>
      <w:pPr>
        <w:pStyle w:val="ListParagraph"/>
        <w:numPr>
          <w:ilvl w:val="0"/>
          <w:numId w:val="2"/>
        </w:numPr>
        <w:spacing w:after="80"/>
      </w:pPr>
      <w:r>
        <w:rPr>
          <w:b/>
          <w:bCs/>
        </w:rPr>
        <w:t xml:space="preserve">Simplicité : </w:t>
      </w:r>
      <w:r>
        <w:t xml:space="preserve">parcours d'inscription et de publication d'annonce les plus courts possible ; beaucoup d'utilisateurs ont une faible littératie numérique.</w:t>
      </w:r>
    </w:p>
    <w:p>
      <w:pPr>
        <w:pStyle w:val="ListParagraph"/>
        <w:numPr>
          <w:ilvl w:val="0"/>
          <w:numId w:val="2"/>
        </w:numPr>
        <w:spacing w:after="80"/>
      </w:pPr>
      <w:r>
        <w:rPr>
          <w:b/>
          <w:bCs/>
        </w:rPr>
        <w:t xml:space="preserve">Évolutivité : </w:t>
      </w:r>
      <w:r>
        <w:t xml:space="preserve">l'architecture doit permettre d'ajouter plus tard d'autres briques de l'écosystème SmartAgriChange (traçabilité, données agronomiques, profil producteur enrichi).</w:t>
      </w:r>
    </w:p>
    <w:p>
      <w:pPr>
        <w:pStyle w:val="Heading1"/>
      </w:pPr>
      <w:r>
        <w:t xml:space="preserve">6. Proposition de priorisation (à valider ensemble)</w:t>
      </w:r>
    </w:p>
    <w:p>
      <w:pPr>
        <w:spacing w:after="120"/>
      </w:pPr>
      <w:r>
        <w:t xml:space="preserve">Tout livrer en une seule fois serait long, coûteux et risqué. Proposition de découpage soumise à discussion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226"/>
      </w:tblGrid>
      <w:tr>
        <w:tc>
          <w:tcPr>
            <w:tcW w:type="dxa" w:w="4200"/>
            <w:tcBorders>
              <w:top w:val="single" w:color="BBBBBB" w:sz="1"/>
              <w:left w:val="single" w:color="BBBBBB" w:sz="1"/>
              <w:bottom w:val="single" w:color="BBBBBB" w:sz="1"/>
              <w:right w:val="single" w:color="BBBBBB" w:sz="1"/>
            </w:tcBorders>
            <w:shd w:fill="E8F0E8" w:val="clear"/>
            <w:tcMar>
              <w:top w:type="dxa" w:w="80"/>
              <w:left w:type="dxa" w:w="120"/>
              <w:bottom w:type="dxa" w:w="80"/>
              <w:right w:type="dxa" w:w="120"/>
            </w:tcMar>
          </w:tcPr>
          <w:p>
            <w:r>
              <w:rPr>
                <w:b/>
                <w:bCs/>
              </w:rPr>
              <w:t xml:space="preserve">Module</w:t>
            </w:r>
          </w:p>
        </w:tc>
        <w:tc>
          <w:tcPr>
            <w:tcW w:type="dxa" w:w="1600"/>
            <w:tcBorders>
              <w:top w:val="single" w:color="BBBBBB" w:sz="1"/>
              <w:left w:val="single" w:color="BBBBBB" w:sz="1"/>
              <w:bottom w:val="single" w:color="BBBBBB" w:sz="1"/>
              <w:right w:val="single" w:color="BBBBBB" w:sz="1"/>
            </w:tcBorders>
            <w:shd w:fill="E8F0E8" w:val="clear"/>
            <w:tcMar>
              <w:top w:type="dxa" w:w="80"/>
              <w:left w:type="dxa" w:w="120"/>
              <w:bottom w:type="dxa" w:w="80"/>
              <w:right w:type="dxa" w:w="120"/>
            </w:tcMar>
          </w:tcPr>
          <w:p>
            <w:r>
              <w:rPr>
                <w:b/>
                <w:bCs/>
              </w:rPr>
              <w:t xml:space="preserve">Priorité</w:t>
            </w:r>
          </w:p>
        </w:tc>
        <w:tc>
          <w:tcPr>
            <w:tcW w:type="dxa" w:w="3226"/>
            <w:tcBorders>
              <w:top w:val="single" w:color="BBBBBB" w:sz="1"/>
              <w:left w:val="single" w:color="BBBBBB" w:sz="1"/>
              <w:bottom w:val="single" w:color="BBBBBB" w:sz="1"/>
              <w:right w:val="single" w:color="BBBBBB" w:sz="1"/>
            </w:tcBorders>
            <w:shd w:fill="E8F0E8" w:val="clear"/>
            <w:tcMar>
              <w:top w:type="dxa" w:w="80"/>
              <w:left w:type="dxa" w:w="120"/>
              <w:bottom w:type="dxa" w:w="80"/>
              <w:right w:type="dxa" w:w="120"/>
            </w:tcMar>
          </w:tcPr>
          <w:p>
            <w:r>
              <w:rPr>
                <w:b/>
                <w:bCs/>
              </w:rPr>
              <w:t xml:space="preserve">Justification</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Marketplace produits agricoles (vente directe)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P1 - MVP</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Coeur du produit, génère les premières transactions</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Messagerie interne sécurisée (sans échange de contacts)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P1 - MVP</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Indispensable pour protéger le modèle économique dès le lancement</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Page d'accueil : produits vedettes + cours des semences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P1 - MVP</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Vitrine et facteur de rétention ; dépend de la source de données prix</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Bourse d'échange de matériel agricole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P2</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Forte valeur ajoutée mais peut suivre le lancement du marché produits</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Service logistique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P2</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Critique pour la promesse client, mais dépend des partenariats opérationnels</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Forum + espace apprentissage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P3</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Fidélisation et communauté ; nécessite modération, peut être livré en phase 2</w:t>
            </w:r>
          </w:p>
        </w:tc>
      </w:tr>
    </w:tbl>
    <w:p>
      <w:pPr>
        <w:spacing w:after="120" w:before="160"/>
      </w:pPr>
      <w:r>
        <w:t xml:space="preserve">Cette priorisation est une base de discussion, pas une décision figée. L'équipe de développement est invitée à la challenger en fonction des dépendances techniques.</w:t>
      </w:r>
    </w:p>
    <w:p>
      <w:pPr>
        <w:pStyle w:val="Heading1"/>
      </w:pPr>
      <w:r>
        <w:t xml:space="preserve">7. Questions ouvertes à trancher pendant la rencontre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F3ECD8" w:val="clear"/>
            <w:tcMar>
              <w:top w:type="dxa" w:w="80"/>
              <w:left w:type="dxa" w:w="120"/>
              <w:bottom w:type="dxa" w:w="80"/>
              <w:right w:type="dxa" w:w="120"/>
            </w:tcMar>
          </w:tcPr>
          <w:p>
            <w:r>
              <w:rPr>
                <w:b/>
                <w:bCs/>
              </w:rPr>
              <w:t xml:space="preserve">Sujet</w:t>
            </w:r>
          </w:p>
        </w:tc>
        <w:tc>
          <w:tcPr>
            <w:tcW w:type="dxa" w:w="5826"/>
            <w:tcBorders>
              <w:top w:val="single" w:color="BBBBBB" w:sz="1"/>
              <w:left w:val="single" w:color="BBBBBB" w:sz="1"/>
              <w:bottom w:val="single" w:color="BBBBBB" w:sz="1"/>
              <w:right w:val="single" w:color="BBBBBB" w:sz="1"/>
            </w:tcBorders>
            <w:shd w:fill="F3ECD8" w:val="clear"/>
            <w:tcMar>
              <w:top w:type="dxa" w:w="80"/>
              <w:left w:type="dxa" w:w="120"/>
              <w:bottom w:type="dxa" w:w="80"/>
              <w:right w:type="dxa" w:w="120"/>
            </w:tcMar>
          </w:tcPr>
          <w:p>
            <w:r>
              <w:rPr>
                <w:b/>
                <w:bCs/>
              </w:rPr>
              <w:t xml:space="preserve">Question à trancher avec les développeurs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Cours des semences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Quelle source de données pour les prix par localité ? (saisie manuelle par des agents, remontée par les coopératives, source institutionnelle type SIM/SONAGESS - à vérifier). Fréquence de mise à jour ? Qui valide les prix publiés ?</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Anti-contournement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Quel niveau de filtrage dans la messagerie : masquage automatique des numéros et e-mails, modération humaine, ou les deux ? Quelles sanctions en cas de contournement ?</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Modèle de revenus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Commission sur transaction, abonnement vendeur, frais logistiques, ou mixte ? Ce choix conditionne l'architecture du paiement et du tunnel de commande.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Paiement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Intégration mobile money obligatoire dès le MVP ? Agrégateur à confirmer (piste existante : YengaPay via le partenariat Kerti SARL / KREEZUS).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Logistique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Flotte interne, partenaires transporteurs, ou modèle hybride avec agents relais ? Zones couvertes au lancement ?</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Vérification vendeurs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Procédure de validation des comptes producteurs (KYC léger, validation par coopérative, agents terrain) pour limiter la fraude.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Technologie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Web responsive d'abord, ou web + application mobile ? Stratégie hors-ligne / faible connexion ? Stack technique proposée par l'équipe ?</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Langues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Français seul au lancement, ou ajout de langues locales (audio inclus) en phase 2 ?</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Modération forum</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Qui modère les contenus et qui valide les contenus pédagogiques de l'espace apprentissage ?</w:t>
            </w:r>
          </w:p>
        </w:tc>
      </w:tr>
    </w:tbl>
    <w:p>
      <w:pPr>
        <w:pStyle w:val="Heading1"/>
      </w:pPr>
      <w:r>
        <w:t xml:space="preserve">8. Livrables attendus de l'équipe de développement</w:t>
      </w:r>
    </w:p>
    <w:p>
      <w:pPr>
        <w:pStyle w:val="ListParagraph"/>
        <w:numPr>
          <w:ilvl w:val="0"/>
          <w:numId w:val="2"/>
        </w:numPr>
        <w:spacing w:after="80"/>
      </w:pPr>
      <w:r>
        <w:t xml:space="preserve">Une proposition d'architecture technique (stack, hébergement, stratégie mobile et hors-ligne).</w:t>
      </w:r>
    </w:p>
    <w:p>
      <w:pPr>
        <w:pStyle w:val="ListParagraph"/>
        <w:numPr>
          <w:ilvl w:val="0"/>
          <w:numId w:val="2"/>
        </w:numPr>
        <w:spacing w:after="80"/>
      </w:pPr>
      <w:r>
        <w:t xml:space="preserve">Un chiffrage par module : charge de travail, coût, délai.</w:t>
      </w:r>
    </w:p>
    <w:p>
      <w:pPr>
        <w:pStyle w:val="ListParagraph"/>
        <w:numPr>
          <w:ilvl w:val="0"/>
          <w:numId w:val="2"/>
        </w:numPr>
        <w:spacing w:after="80"/>
      </w:pPr>
      <w:r>
        <w:t xml:space="preserve">Un planning de réalisation par phases, aligné sur la priorisation validée.</w:t>
      </w:r>
    </w:p>
    <w:p>
      <w:pPr>
        <w:pStyle w:val="ListParagraph"/>
        <w:numPr>
          <w:ilvl w:val="0"/>
          <w:numId w:val="2"/>
        </w:numPr>
        <w:spacing w:after="80"/>
      </w:pPr>
      <w:r>
        <w:t xml:space="preserve">Une maquette ou un prototype des écrans clés (page d'accueil, fiche produit, messagerie) avant tout développement lourd.</w:t>
      </w:r>
    </w:p>
    <w:p>
      <w:pPr>
        <w:pStyle w:val="ListParagraph"/>
        <w:numPr>
          <w:ilvl w:val="0"/>
          <w:numId w:val="2"/>
        </w:numPr>
        <w:spacing w:after="80"/>
      </w:pPr>
      <w:r>
        <w:t xml:space="preserve">Les modalités de maintenance et de support après mise en ligne.</w:t>
      </w:r>
    </w:p>
    <w:p>
      <w:pPr>
        <w:pStyle w:val="Heading1"/>
      </w:pPr>
      <w:r>
        <w:t xml:space="preserve">9. Prochaines étapes</w:t>
      </w:r>
    </w:p>
    <w:p>
      <w:pPr>
        <w:pStyle w:val="ListParagraph"/>
        <w:numPr>
          <w:ilvl w:val="0"/>
          <w:numId w:val="2"/>
        </w:numPr>
        <w:spacing w:after="80"/>
      </w:pPr>
      <w:r>
        <w:t xml:space="preserve">Valider le périmètre du MVP à l'issue de la rencontre.</w:t>
      </w:r>
    </w:p>
    <w:p>
      <w:pPr>
        <w:pStyle w:val="ListParagraph"/>
        <w:numPr>
          <w:ilvl w:val="0"/>
          <w:numId w:val="2"/>
        </w:numPr>
        <w:spacing w:after="80"/>
      </w:pPr>
      <w:r>
        <w:t xml:space="preserve">Trancher la question de la source des données de prix avant de lancer le développement du module 6.</w:t>
      </w:r>
    </w:p>
    <w:p>
      <w:pPr>
        <w:pStyle w:val="ListParagraph"/>
        <w:numPr>
          <w:ilvl w:val="0"/>
          <w:numId w:val="2"/>
        </w:numPr>
        <w:spacing w:after="80"/>
      </w:pPr>
      <w:r>
        <w:t xml:space="preserve">Recevoir le chiffrage et le planning sous un délai à convenir.</w:t>
      </w:r>
    </w:p>
    <w:p>
      <w:pPr>
        <w:pStyle w:val="ListParagraph"/>
        <w:numPr>
          <w:ilvl w:val="0"/>
          <w:numId w:val="2"/>
        </w:numPr>
        <w:spacing w:after="80"/>
      </w:pPr>
      <w:r>
        <w:t xml:space="preserve">Planifier une seconde rencontre de validation des maquettes.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SmartAgriMarket V2 - Document de cadrage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7D32"/>
      <w:sz w:val="30"/>
      <w:szCs w:val="30"/>
    </w:rPr>
  </w:style>
  <w:style w:type="paragraph" w:styleId="Heading2">
    <w:name w:val="Heading 2"/>
    <w:basedOn w:val="Normal"/>
    <w:next w:val="Normal"/>
    <w:qFormat/>
    <w:pPr>
      <w:spacing w:after="120" w:before="2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2026-06-11T13:41:09.191Z</dcterms:created>
  <dcterms:modified xsi:type="dcterms:W3CDTF">2026-06-11T13:41:09.191Z</dcterms:modified>
</cp:coreProperties>
</file>

<file path=docProps/custom.xml><?xml version="1.0" encoding="utf-8"?>
<Properties xmlns="http://schemas.openxmlformats.org/officeDocument/2006/custom-properties" xmlns:vt="http://schemas.openxmlformats.org/officeDocument/2006/docPropsVTypes"/>
</file>