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3A5F"/>
          <w:sz w:val="44"/>
        </w:rPr>
        <w:t>Weekly Project Update</w:t>
      </w:r>
    </w:p>
    <w:p>
      <w:r>
        <w:rPr>
          <w:color w:val="666666"/>
          <w:sz w:val="22"/>
        </w:rPr>
        <w:t xml:space="preserve">Data Platform Migration  ·  Week 27  ·  2026-07-08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1F3A5F"/>
          </w:tcPr>
          <w:p>
            <w:r>
              <w:rPr>
                <w:b/>
                <w:color w:val="FFFFFF"/>
                <w:sz w:val="18"/>
              </w:rPr>
              <w:t>Client</w:t>
            </w:r>
          </w:p>
        </w:tc>
        <w:tc>
          <w:tcPr>
            <w:tcW w:type="dxa" w:w="2412"/>
            <w:shd w:val="clear" w:fill="1F3A5F"/>
          </w:tcPr>
          <w:p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412"/>
            <w:shd w:val="clear" w:fill="1F3A5F"/>
          </w:tcPr>
          <w:p>
            <w:r>
              <w:rPr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2412"/>
            <w:shd w:val="clear" w:fill="1F3A5F"/>
          </w:tcPr>
          <w:p>
            <w:r>
              <w:rPr>
                <w:b/>
                <w:color w:val="FFFFFF"/>
                <w:sz w:val="18"/>
              </w:rPr>
              <w:t>Overall status</w:t>
            </w:r>
          </w:p>
        </w:tc>
      </w:tr>
      <w:tr>
        <w:tc>
          <w:tcPr>
            <w:tcW w:type="dxa" w:w="2412"/>
          </w:tcPr>
          <w:p>
            <w:r>
              <w:t xml:space="preserve">Globex Corporation</w:t>
            </w:r>
          </w:p>
        </w:tc>
        <w:tc>
          <w:tcPr>
            <w:tcW w:type="dxa" w:w="2412"/>
          </w:tcPr>
          <w:p>
            <w:r>
              <w:t xml:space="preserve">Data Platform Migration</w:t>
            </w:r>
          </w:p>
        </w:tc>
        <w:tc>
          <w:tcPr>
            <w:tcW w:type="dxa" w:w="2412"/>
          </w:tcPr>
          <w:p>
            <w:r>
              <w:t xml:space="preserve">D. Negunda</w:t>
            </w:r>
          </w:p>
        </w:tc>
        <w:tc>
          <w:tcPr>
            <w:tcW w:type="dxa" w:w="2412"/>
          </w:tcPr>
          <w:p>
            <w:r>
              <w:t xml:space="preserve">
                <w:r>
                  <w:rPr>
                    <w:color w:val="F9A825"/>
                    <w:b/>
                  </w:rPr>
                  <w:t xml:space="preserve">Amber</w:t>
                </w:r>
              </w:t>
            </w:r>
          </w:p>
        </w:tc>
      </w:tr>
    </w:tbl>
    <w:p/>
    <w:p>
      <w:pPr>
        <w:pBdr>
          <w:bottom w:val="single" w:sz="6" w:space="2" w:color="2E86AB"/>
        </w:pBdr>
      </w:pPr>
      <w:r>
        <w:rPr>
          <w:rFonts w:ascii="Calibri" w:hAnsi="Calibri"/>
          <w:b/>
          <w:color w:val="1F3A5F"/>
          <w:sz w:val="26"/>
        </w:rPr>
        <w:t>Summary</w:t>
      </w:r>
    </w:p>
    <w:p>
      <w:r>
        <w:t xml:space="preserve">Migration is broadly on track. The ingestion layer is complete and validated; the reporting cutover slipped a week pending Globex-side data access, which is the main risk to the go-live date.</w:t>
      </w:r>
    </w:p>
    <w:p>
      <w:pPr>
        <w:pBdr>
          <w:bottom w:val="single" w:sz="6" w:space="2" w:color="2E86AB"/>
        </w:pBdr>
      </w:pPr>
      <w:r>
        <w:rPr>
          <w:rFonts w:ascii="Calibri" w:hAnsi="Calibri"/>
          <w:b/>
          <w:color w:val="1F3A5F"/>
          <w:sz w:val="26"/>
        </w:rPr>
        <w:t>Accomplishments this week</w:t>
      </w:r>
    </w:p>
    <w:p>
      <w:pPr>
        <w:pStyle w:val="ListBullet"/>
      </w:pPr>
      <w:r>
        <w:t xml:space="preserve">Completed and validated the ingestion pipeline for all 12 source systems.</w:t>
      </w:r>
    </w:p>
    <w:p>
      <w:pPr>
        <w:pStyle w:val="ListBullet"/>
      </w:pPr>
      <w:r>
        <w:t xml:space="preserve">Signed off the target warehouse schema with the Globex data team.</w:t>
      </w:r>
    </w:p>
    <w:p>
      <w:pPr>
        <w:pStyle w:val="ListBullet"/>
      </w:pPr>
      <w:r>
        <w:t xml:space="preserve">Automated nightly reconciliation checks (row counts + null-rate thresholds).</w:t>
      </w:r>
    </w:p>
    <w:p>
      <w:pPr>
        <w:pBdr>
          <w:bottom w:val="single" w:sz="6" w:space="2" w:color="2E86AB"/>
        </w:pBdr>
      </w:pPr>
      <w:r>
        <w:rPr>
          <w:rFonts w:ascii="Calibri" w:hAnsi="Calibri"/>
          <w:b/>
          <w:color w:val="1F3A5F"/>
          <w:sz w:val="26"/>
        </w:rPr>
        <w:t>In progress</w:t>
      </w:r>
    </w:p>
    <w:p>
      <w:pPr>
        <w:pStyle w:val="ListBullet"/>
      </w:pPr>
      <w:r>
        <w:t xml:space="preserve">Rebuilding the 8 executive dashboards on the new warehouse.</w:t>
      </w:r>
    </w:p>
    <w:p>
      <w:pPr>
        <w:pStyle w:val="ListBullet"/>
      </w:pPr>
      <w:r>
        <w:t xml:space="preserve">Drafting the cutover runbook and rollback plan.</w:t>
      </w:r>
    </w:p>
    <w:p>
      <w:pPr>
        <w:pBdr>
          <w:bottom w:val="single" w:sz="6" w:space="2" w:color="2E86AB"/>
        </w:pBdr>
      </w:pPr>
      <w:r>
        <w:rPr>
          <w:rFonts w:ascii="Calibri" w:hAnsi="Calibri"/>
          <w:b/>
          <w:color w:val="1F3A5F"/>
          <w:sz w:val="26"/>
        </w:rPr>
        <w:t>Blockers &amp; risks</w:t>
      </w:r>
    </w:p>
    <w:p>
      <w:pPr>
        <w:pStyle w:val="ListBullet"/>
      </w:pPr>
      <w:r>
        <w:t xml:space="preserve">Awaiting production read access to Globex CRM (requested 2026-07-02, blocking reporting cutover).</w:t>
      </w:r>
    </w:p>
    <w:p>
      <w:pPr>
        <w:pStyle w:val="ListBullet"/>
      </w:pPr>
      <w:r>
        <w:t xml:space="preserve">Finance sign-off on the revenue reconciliation logic still outstanding.</w:t>
      </w:r>
    </w:p>
    <w:p>
      <w:pPr>
        <w:pBdr>
          <w:bottom w:val="single" w:sz="6" w:space="2" w:color="2E86AB"/>
        </w:pBdr>
      </w:pPr>
      <w:r>
        <w:rPr>
          <w:rFonts w:ascii="Calibri" w:hAnsi="Calibri"/>
          <w:b/>
          <w:color w:val="1F3A5F"/>
          <w:sz w:val="26"/>
        </w:rPr>
        <w:t>Upcoming next week</w:t>
      </w:r>
    </w:p>
    <w:p>
      <w:pPr>
        <w:pStyle w:val="ListBullet"/>
      </w:pPr>
      <w:r>
        <w:t xml:space="preserve">Complete dashboard rebuild and begin UAT.</w:t>
      </w:r>
    </w:p>
    <w:p>
      <w:pPr>
        <w:pStyle w:val="ListBullet"/>
      </w:pPr>
      <w:r>
        <w:t xml:space="preserve">Dry-run the cutover in staging.</w:t>
      </w:r>
    </w:p>
    <w:p>
      <w:pPr>
        <w:pStyle w:val="ListBullet"/>
      </w:pPr>
      <w:r>
        <w:t xml:space="preserve">Confirm go-live date once CRM access is granted.</w:t>
      </w:r>
    </w:p>
    <w:p>
      <w:pPr>
        <w:pBdr>
          <w:bottom w:val="single" w:sz="6" w:space="2" w:color="2E86AB"/>
        </w:pBdr>
      </w:pPr>
      <w:r>
        <w:rPr>
          <w:rFonts w:ascii="Calibri" w:hAnsi="Calibri"/>
          <w:b/>
          <w:color w:val="1F3A5F"/>
          <w:sz w:val="26"/>
        </w:rPr>
        <w:t>Notes</w:t>
      </w:r>
    </w:p>
    <w:p>
      <w:r>
        <w:t xml:space="preserve">Recommend escalating the CRM access request at the Thursday steering committee.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Confidential — ACME Consulting   | 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24"/>
      <w:gridCol w:w="4824"/>
    </w:tblGrid>
    <w:tr>
      <w:tc>
        <w:tcPr>
          <w:tcW w:type="dxa" w:w="4824"/>
        </w:tcPr>
        <w:p>
          <w:r>
            <w:t xml:space="preserve"/>
          </w:r>
          <w:r>
            <w:drawing>
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extent cx="1371600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globex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t xml:space="preserve"/>
          </w:r>
        </w:p>
      </w:tc>
      <w:tc>
        <w:tcPr>
          <w:tcW w:type="dxa" w:w="4824"/>
        </w:tcPr>
        <w:p>
          <w:pPr>
            <w:jc w:val="right"/>
          </w:pPr>
          <w:r>
            <w:rPr>
              <w:b/>
              <w:color w:val="666666"/>
              <w:sz w:val="16"/>
            </w:rPr>
            <w:t>CONFIDENTIAL</w:t>
          </w:r>
          <w:r>
            <w:br/>
          </w:r>
          <w:r>
            <w:rPr>
              <w:color w:val="666666"/>
              <w:sz w:val="16"/>
            </w:rPr>
            <w:t xml:space="preserve">Globex Corporation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