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образования и науки Российской Федерации 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 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«НОВОСИБИРСКИЙ ГОСУДАРСТВЕННЫЙ ТЕХНИЧЕСКИЙ УНИВЕРСИТЕТ» 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br/>
        <w:br/>
        <w:br/>
        <w:br/>
        <w:br/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Кафедра теоретической прикладной информатики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Лабораторная работа №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5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Проектирование интерфейсов и системный анализ</w:t>
      </w:r>
      <w:r>
        <w:rPr>
          <w:rFonts w:eastAsia="Times New Roman" w:cs="Times New Roman" w:ascii="Times New Roman" w:hAnsi="Times New Roman"/>
          <w:sz w:val="24"/>
          <w:szCs w:val="24"/>
        </w:rPr>
        <w:t>»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Тема: «Проблемы физического воспитания молодежи»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 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Факультет: ПМИ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ПМИ-31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Тема: 22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Студент: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Долгополов И.И.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Преподаватель: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Стасышина Т. Л.</w:t>
      </w: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Новосибирск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2025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Описание проблемы</w:t>
      </w:r>
    </w:p>
    <w:p>
      <w:pPr>
        <w:pStyle w:val="BodyText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Проблема физического воспитания студенческой молодёжи</w:t>
      </w:r>
      <w:r>
        <w:rPr>
          <w:rFonts w:cs="Times New Roman" w:ascii="Times New Roman" w:hAnsi="Times New Roman"/>
          <w:sz w:val="24"/>
          <w:szCs w:val="24"/>
        </w:rPr>
        <w:t xml:space="preserve"> — это ситуация, при которой существующие образовательные и спортивные программы не справляются с малоподвижным образом жизни, среди широкой группы молодых людей. Это негативно влияет на физическое и ментальное здоровье молодого поколения, ведёт к росту хронических заболеваний, снижению работоспособности и, как следствие, наносит ущерб человеческому капиталу страны.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Анализ проблемы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Проанализировав проблему, можно выделить факторы, влияющие на возникновение проблемы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Группа факторов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Конкретизация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Инфраструктурные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Недостаток и низкое качество бесплатных, доступных и современных спортивных объектов в шаговой доступности.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Экономические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Высокая стоимость абонементов в коммерческие фитнес-центры и секции, делающая их недоступными для многих студентов.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Мотивационные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lang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Недостаток позитивных примеров и интерактивных форматов, которые могли бы вызвать личный интерес к занятиям спортом.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Организационные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Слабая интеграция физической активности в повседневную жизнь и рабочий/учебный процесс после окончания вуза.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Информационные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Низкая эффективность традиционных методов пропаганды ЗОЖ; недоверие к официальной информации и отсутствие влиятельных голосов в медиапространстве.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Из этого выделяются следующие последствия для страны:</w:t>
      </w:r>
    </w:p>
    <w:p>
      <w:pPr>
        <w:pStyle w:val="BodyText"/>
        <w:numPr>
          <w:ilvl w:val="0"/>
          <w:numId w:val="10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Рост заболеваемости и связанное с этим увеличение нагрузки на систему здравоохранения.</w:t>
      </w:r>
    </w:p>
    <w:p>
      <w:pPr>
        <w:pStyle w:val="BodyText"/>
        <w:numPr>
          <w:ilvl w:val="0"/>
          <w:numId w:val="10"/>
        </w:numPr>
        <w:rPr/>
      </w:pPr>
      <w:r>
        <w:rPr/>
        <w:t>Снижение продуктивности и когнитивных способностей молодого поколения.</w:t>
      </w:r>
    </w:p>
    <w:p>
      <w:pPr>
        <w:pStyle w:val="BodyText"/>
        <w:numPr>
          <w:ilvl w:val="0"/>
          <w:numId w:val="10"/>
        </w:numPr>
        <w:rPr/>
      </w:pPr>
      <w:r>
        <w:rPr/>
        <w:t>Ухудшение общего психоэмоционального состояния населения, рост уровня стресса.</w:t>
      </w:r>
    </w:p>
    <w:p>
      <w:pPr>
        <w:pStyle w:val="BodyText"/>
        <w:numPr>
          <w:ilvl w:val="0"/>
          <w:numId w:val="10"/>
        </w:numPr>
        <w:rPr/>
      </w:pPr>
      <w:r>
        <w:rPr/>
        <w:t>Потеря потенциала для развития массового спорта и формирования здоровой нации.</w:t>
      </w:r>
    </w:p>
    <w:p>
      <w:pPr>
        <w:pStyle w:val="ListParagraph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Предложенные альтернативы решения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Мной были предложены следующие альтернативы решения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77"/>
        <w:gridCol w:w="2645"/>
        <w:gridCol w:w="5023"/>
      </w:tblGrid>
      <w:tr>
        <w:trPr/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Альтернатива</w:t>
            </w:r>
          </w:p>
        </w:tc>
        <w:tc>
          <w:tcPr>
            <w:tcW w:w="5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Строительство уличных воркаут-зон и скейт-парков.</w:t>
            </w:r>
          </w:p>
        </w:tc>
        <w:tc>
          <w:tcPr>
            <w:tcW w:w="5023" w:type="dxa"/>
            <w:tcBorders/>
          </w:tcPr>
          <w:p>
            <w:pPr>
              <w:pStyle w:val="ListParagraph"/>
              <w:widowControl/>
              <w:numPr>
                <w:ilvl w:val="0"/>
                <w:numId w:val="11"/>
              </w:numPr>
              <w:suppressAutoHyphens w:val="true"/>
              <w:spacing w:lineRule="auto" w:line="240" w:before="0" w:after="0"/>
              <w:contextualSpacing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Строительство воркаут-зон, скейт-парков и полос препятствий в парках и жилых районах.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uppressAutoHyphens w:val="true"/>
              <w:spacing w:lineRule="auto" w:line="240" w:before="0" w:after="0"/>
              <w:contextualSpacing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Оснащение дворов современными и безопасными спортивными комплексами.</w:t>
            </w:r>
          </w:p>
        </w:tc>
      </w:tr>
      <w:tr>
        <w:trPr/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Внедрение программы компенсации стоимости фитнес-абонементов.</w:t>
            </w:r>
          </w:p>
        </w:tc>
        <w:tc>
          <w:tcPr>
            <w:tcW w:w="5023" w:type="dxa"/>
            <w:tcBorders/>
          </w:tcPr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kern w:val="0"/>
                <w:sz w:val="22"/>
                <w:szCs w:val="22"/>
                <w:lang w:bidi="ar-SA"/>
              </w:rPr>
              <w:t>Внедрение программы компенсации части стоимости фитнес-абонементов для студентов и молодёжи.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kern w:val="0"/>
                <w:sz w:val="22"/>
                <w:szCs w:val="22"/>
                <w:lang w:bidi="ar-SA"/>
              </w:rPr>
              <w:t>Создание системы сертифицированных фитнес-центров, участвующих в программе.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kern w:val="0"/>
                <w:sz w:val="22"/>
                <w:szCs w:val="22"/>
                <w:lang w:bidi="ar-SA"/>
              </w:rPr>
              <w:t>Предоставление налоговых вычетов гражданам при оплате спортивных услуг.</w:t>
            </w:r>
          </w:p>
        </w:tc>
      </w:tr>
      <w:tr>
        <w:trPr/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Организация открытых тренировок с известными спортсменами в парках.</w:t>
            </w:r>
          </w:p>
        </w:tc>
        <w:tc>
          <w:tcPr>
            <w:tcW w:w="5023" w:type="dxa"/>
            <w:tcBorders/>
          </w:tcPr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Организация регулярных открытых тренировок в парках с известными спортсменами и тренерами.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Проведение массовых спортивных фестивалей и мастер-классов.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Создание спортивных клубов по интересам на районном уровне.</w:t>
            </w:r>
          </w:p>
        </w:tc>
      </w:tr>
      <w:tr>
        <w:trPr>
          <w:trHeight w:val="1595" w:hRule="atLeast"/>
        </w:trPr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Развитие корпоративного спорта через налоговые льготы компаниям.</w:t>
            </w:r>
          </w:p>
        </w:tc>
        <w:tc>
          <w:tcPr>
            <w:tcW w:w="5023" w:type="dxa"/>
            <w:tcBorders/>
          </w:tcPr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Предоставление налоговых льгот компаниям, организующим корпоративные спортивные программы.</w:t>
            </w:r>
          </w:p>
          <w:p>
            <w:pPr>
              <w:pStyle w:val="ListParagraph"/>
              <w:widowControl/>
              <w:numPr>
                <w:ilvl w:val="0"/>
                <w:numId w:val="14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Частичная компенсация затрат бизнеса на аренду или строительство спортивных объектов.</w:t>
            </w:r>
          </w:p>
        </w:tc>
      </w:tr>
      <w:tr>
        <w:trPr/>
        <w:tc>
          <w:tcPr>
            <w:tcW w:w="16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5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bidi="ar-SA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bidi="ar-SA"/>
              </w:rPr>
              <w:t>Масштабная рекламная кампания со спортивными блогерами.</w:t>
            </w:r>
          </w:p>
        </w:tc>
        <w:tc>
          <w:tcPr>
            <w:tcW w:w="5023" w:type="dxa"/>
            <w:tcBorders/>
          </w:tcPr>
          <w:p>
            <w:pPr>
              <w:pStyle w:val="ListParagraph"/>
              <w:widowControl/>
              <w:numPr>
                <w:ilvl w:val="0"/>
                <w:numId w:val="15"/>
              </w:numPr>
              <w:suppressAutoHyphens w:val="true"/>
              <w:spacing w:lineRule="auto" w:line="240" w:before="0" w:after="0"/>
              <w:contextualSpacing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Запуск масштабной рекламной кампании с привлечением спортивных блогеров и лидеров мнений.</w:t>
            </w:r>
          </w:p>
          <w:p>
            <w:pPr>
              <w:pStyle w:val="ListParagraph"/>
              <w:widowControl/>
              <w:numPr>
                <w:ilvl w:val="0"/>
                <w:numId w:val="15"/>
              </w:numPr>
              <w:suppressAutoHyphens w:val="true"/>
              <w:spacing w:lineRule="auto" w:line="240" w:before="0" w:after="0"/>
              <w:contextualSpacing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Создание и продвижение официального цифрового приложения с челленджами, программами тренировок и трекингом прогресса.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Список экспертов и их характеристики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Для участия в опросе было выбрано 3 эксперта. Все из них подходят</w:t>
      </w:r>
      <w:r>
        <w:rPr>
          <w:rStyle w:val="Strong"/>
          <w:rFonts w:eastAsia="Times New Roman"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под демографическое определение молодежи.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Компетентность эксперта была рассчитана по формуле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0,1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и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где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и</m:t>
            </m:r>
          </m:sub>
        </m:sSub>
      </m:oMath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–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коэффициент самооценки клиента по решаемой проблеме,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а</m:t>
            </m:r>
          </m:sub>
        </m:sSub>
      </m:oMath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 –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сумма баллов по отметкам эксперта в таблице влияния разных источников на мнение</w:t>
      </w:r>
    </w:p>
    <w:tbl>
      <w:tblPr>
        <w:tblStyle w:val="a3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1947"/>
        <w:gridCol w:w="992"/>
        <w:gridCol w:w="4252"/>
      </w:tblGrid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 и ФИО эксперта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Должность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/</w:t>
              <w:br/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специализация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Стаж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Описание эксперта</w:t>
              <w:br/>
              <w:t>и компетентность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1. Колесников Иван Игоревич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Студент, культурист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-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Компетентность: 0.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6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2. Баринов Василий Иванович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Личный тренер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8 лет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Компетентность: 0.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75</w:t>
            </w:r>
          </w:p>
        </w:tc>
      </w:tr>
      <w:tr>
        <w:trPr>
          <w:trHeight w:val="1357" w:hRule="atLeast"/>
        </w:trPr>
        <w:tc>
          <w:tcPr>
            <w:tcW w:w="21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3. Филатова Мария Васильевна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Менеджер по продажам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5 лет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Компетентность: 0.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bidi="ar-SA"/>
              </w:rPr>
              <w:t>45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Тесты для выявления наилучшего решения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Метод взвешенных экспертных оценок: </w:t>
      </w:r>
      <w:r>
        <w:rPr>
          <w:rFonts w:cs="Times New Roman" w:ascii="Times New Roman" w:hAnsi="Times New Roman"/>
          <w:sz w:val="24"/>
          <w:szCs w:val="24"/>
          <w:lang w:val="en-US"/>
        </w:rPr>
        <w:t>https://forms.gle/q6SKFGPNQdRxcLae7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Метод предпочтений: </w:t>
      </w:r>
      <w:r>
        <w:rPr>
          <w:rFonts w:cs="Times New Roman" w:ascii="Times New Roman" w:hAnsi="Times New Roman"/>
          <w:sz w:val="24"/>
          <w:szCs w:val="24"/>
          <w:lang w:val="en-US"/>
        </w:rPr>
        <w:t>https://forms.gle/SPHYBpMZqPu1HmNQ9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Метод ранга: </w:t>
      </w:r>
      <w:r>
        <w:rPr>
          <w:rFonts w:cs="Times New Roman" w:ascii="Times New Roman" w:hAnsi="Times New Roman"/>
          <w:sz w:val="24"/>
          <w:szCs w:val="24"/>
          <w:lang w:val="en-US"/>
        </w:rPr>
        <w:t>https://forms.gle/MDxyRt3ohZsQbADW9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Метод полного попарного сравнения: </w:t>
      </w: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https://forms.gle/fTborPQpw8Ejagyy6</w:t>
        </w:r>
      </w:hyperlink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Результаты опроса экспертов и расчеты. Метод взвешенных экспертных оценок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2"/>
        <w:gridCol w:w="1772"/>
        <w:gridCol w:w="1773"/>
        <w:gridCol w:w="1774"/>
        <w:gridCol w:w="1774"/>
        <w:gridCol w:w="999"/>
      </w:tblGrid>
      <w:tr>
        <w:trPr/>
        <w:tc>
          <w:tcPr>
            <w:tcW w:w="125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</w:t>
              <w:br/>
              <w:t>Эксперта</w:t>
            </w:r>
          </w:p>
        </w:tc>
        <w:tc>
          <w:tcPr>
            <w:tcW w:w="8092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 альтернативы</w:t>
            </w:r>
          </w:p>
        </w:tc>
      </w:tr>
      <w:tr>
        <w:trPr/>
        <w:tc>
          <w:tcPr>
            <w:tcW w:w="125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5</w:t>
            </w:r>
          </w:p>
        </w:tc>
      </w:tr>
      <w:tr>
        <w:trPr>
          <w:trHeight w:val="183" w:hRule="atLeast"/>
        </w:trPr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0.29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0.16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0.20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0.18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0.17</w:t>
            </w:r>
          </w:p>
        </w:tc>
      </w:tr>
      <w:tr>
        <w:trPr>
          <w:trHeight w:val="372" w:hRule="atLeast"/>
        </w:trPr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0.33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0.13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0.21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0.19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0.14</w:t>
            </w:r>
          </w:p>
        </w:tc>
      </w:tr>
      <w:tr>
        <w:trPr>
          <w:trHeight w:val="388" w:hRule="atLeast"/>
        </w:trPr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0.04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0.23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0.09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0.44</w:t>
            </w:r>
          </w:p>
        </w:tc>
      </w:tr>
    </w:tbl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Определим относительные оценки компетенций экспертов 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  <w:vertAlign w:val="subscript"/>
          <w:lang w:val="en-US"/>
        </w:rPr>
        <w:t>i</w:t>
      </w:r>
      <w:r>
        <w:rPr>
          <w:rFonts w:cs="Times New Roman" w:ascii="Times New Roman" w:hAnsi="Times New Roman"/>
          <w:sz w:val="24"/>
          <w:szCs w:val="24"/>
          <w:lang w:val="ru-RU"/>
        </w:rPr>
        <w:t>:</w:t>
      </w:r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0.6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0.75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0.45</m:t>
          </m:r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0.65</m:t>
              </m:r>
            </m:num>
            <m:den>
              <m:r>
                <w:rPr>
                  <w:rFonts w:ascii="Cambria Math" w:hAnsi="Cambria Math"/>
                </w:rPr>
                <m:t xml:space="preserve">2.05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b/>
          <w:bCs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0.6</m:t>
              </m:r>
            </m:num>
            <m:den>
              <m:r>
                <w:rPr>
                  <w:rFonts w:ascii="Cambria Math" w:hAnsi="Cambria Math"/>
                </w:rPr>
                <m:t xml:space="preserve">2.05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0.29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</m:t>
              </m:r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2.05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0.39</m:t>
          </m:r>
        </m:oMath>
      </m:oMathPara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Определим веса альтернатив</w:t>
      </w:r>
      <w:r>
        <w:rPr>
          <w:rFonts w:cs="Times New Roman" w:ascii="Times New Roman" w:hAnsi="Times New Roman"/>
          <w:iCs/>
          <w:sz w:val="24"/>
          <w:szCs w:val="24"/>
          <w:lang w:val="en-US"/>
        </w:rPr>
        <w:t>:</w:t>
      </w:r>
    </w:p>
    <w:p>
      <w:pPr>
        <w:pStyle w:val="ListParagraph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0.65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0.39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3.1745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</m:t>
          </m:r>
          <m:r>
            <w:rPr>
              <w:rFonts w:ascii="Cambria Math" w:hAnsi="Cambria Math"/>
            </w:rPr>
            <m:t xml:space="preserve">39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0.058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0.39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0.05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0.0195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0.15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0.39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0.25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0.205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0.32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0.29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0.39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>
      <w:pPr>
        <w:pStyle w:val="ListParagraph"/>
        <w:numPr>
          <w:ilvl w:val="0"/>
          <w:numId w:val="2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Экономическая мотивация и конкурентные условия труда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2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2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Научно-технологическое развитие и инновационная инфраструктура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2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Профессиональное развитие внутри страны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Результаты опроса экспертов и расчеты. Метод предпочтений</w:t>
      </w:r>
    </w:p>
    <w:tbl>
      <w:tblPr>
        <w:tblStyle w:val="a3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1"/>
        <w:gridCol w:w="1618"/>
        <w:gridCol w:w="1618"/>
        <w:gridCol w:w="1618"/>
        <w:gridCol w:w="1618"/>
        <w:gridCol w:w="1618"/>
      </w:tblGrid>
      <w:tr>
        <w:trPr/>
        <w:tc>
          <w:tcPr>
            <w:tcW w:w="125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</w:t>
              <w:br/>
              <w:t>Эксперта</w:t>
            </w:r>
          </w:p>
        </w:tc>
        <w:tc>
          <w:tcPr>
            <w:tcW w:w="8090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 альтернативы</w:t>
            </w:r>
          </w:p>
        </w:tc>
      </w:tr>
      <w:tr>
        <w:trPr/>
        <w:tc>
          <w:tcPr>
            <w:tcW w:w="125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5</w:t>
            </w:r>
          </w:p>
        </w:tc>
      </w:tr>
      <w:tr>
        <w:trPr>
          <w:trHeight w:val="272" w:hRule="atLeast"/>
        </w:trPr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</w:t>
            </w:r>
          </w:p>
        </w:tc>
      </w:tr>
      <w:tr>
        <w:trPr>
          <w:trHeight w:val="176" w:hRule="atLeast"/>
        </w:trPr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</w:t>
            </w:r>
          </w:p>
        </w:tc>
      </w:tr>
      <w:tr>
        <w:trPr>
          <w:trHeight w:val="265" w:hRule="atLeast"/>
        </w:trPr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</w:t>
            </w:r>
          </w:p>
        </w:tc>
      </w:tr>
    </w:tbl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Найдем суммарные оценки предпочтений по каждой альтернативе:</w:t>
      </w:r>
    </w:p>
    <w:p>
      <w:pPr>
        <w:pStyle w:val="ListParagraph"/>
        <w:numPr>
          <w:ilvl w:val="0"/>
          <w:numId w:val="1"/>
        </w:numPr>
        <w:ind w:hanging="360"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Альтернатива 1. «</w:t>
      </w:r>
      <w:r>
        <w:rPr>
          <w:rStyle w:val="myxfac"/>
          <w:rFonts w:cs="Times New Roman" w:ascii="Times New Roman" w:hAnsi="Times New Roman"/>
          <w:sz w:val="24"/>
          <w:szCs w:val="24"/>
        </w:rPr>
        <w:t>Экономическая мотивация и конкурентные условия труда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</m:t>
          </m:r>
        </m:oMath>
      </m:oMathPara>
    </w:p>
    <w:p>
      <w:pPr>
        <w:pStyle w:val="ListParagraph"/>
        <w:numPr>
          <w:ilvl w:val="0"/>
          <w:numId w:val="1"/>
        </w:numPr>
        <w:ind w:hanging="360"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Альтернатива 2. «</w:t>
      </w:r>
      <w:r>
        <w:rPr>
          <w:rStyle w:val="myxfac"/>
          <w:rFonts w:cs="Times New Roman" w:ascii="Times New Roman" w:hAnsi="Times New Roman"/>
          <w:sz w:val="24"/>
          <w:szCs w:val="24"/>
        </w:rPr>
        <w:t>Научно-технологическое развитие и инновационная инфраструктура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ListParagraph"/>
        <w:numPr>
          <w:ilvl w:val="0"/>
          <w:numId w:val="1"/>
        </w:numPr>
        <w:ind w:hanging="360"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Альтернатива 3. 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Профессиональное развитие внутри страны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ListParagraph"/>
        <w:numPr>
          <w:ilvl w:val="0"/>
          <w:numId w:val="1"/>
        </w:numPr>
        <w:ind w:hanging="360"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Альтернатива 4. 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</m:oMath>
      </m:oMathPara>
    </w:p>
    <w:p>
      <w:pPr>
        <w:pStyle w:val="ListParagraph"/>
        <w:numPr>
          <w:ilvl w:val="0"/>
          <w:numId w:val="1"/>
        </w:numPr>
        <w:ind w:hanging="360"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Альтернатива </w:t>
      </w:r>
      <w:r>
        <w:rPr>
          <w:rFonts w:cs="Times New Roman" w:ascii="Times New Roman" w:hAnsi="Times New Roman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sz w:val="24"/>
          <w:szCs w:val="24"/>
          <w:lang w:val="ru-RU"/>
        </w:rPr>
        <w:t>. 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Теперь найдем сумму всех суммарных оценок предпочтений </w:t>
      </w:r>
      <w:r>
        <w:rPr>
          <w:rFonts w:cs="Times New Roman" w:ascii="Times New Roman" w:hAnsi="Times New Roman"/>
          <w:sz w:val="24"/>
          <w:szCs w:val="24"/>
          <w:lang w:val="en-US"/>
        </w:rPr>
        <w:t>L</w:t>
      </w:r>
    </w:p>
    <w:p>
      <w:pPr>
        <w:pStyle w:val="ListParagraph"/>
        <w:ind w:left="106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5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30</m:t>
          </m:r>
        </m:oMath>
      </m:oMathPara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Далее вычислим веса альтернатив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L</m:t>
            </m:r>
          </m:den>
        </m:f>
      </m:oMath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12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0.4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0.133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0.133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0.267</m:t>
          </m:r>
        </m:oMath>
      </m:oMathPara>
    </w:p>
    <w:p>
      <w:pPr>
        <w:pStyle w:val="ListParagraph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0.067</m:t>
          </m:r>
        </m:oMath>
      </m:oMathPara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>
      <w:pPr>
        <w:pStyle w:val="ListParagraph"/>
        <w:numPr>
          <w:ilvl w:val="0"/>
          <w:numId w:val="7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Экономическая мотивация и конкурентные условия труда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7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7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Научно-технологическое развитие и инновационная инфраструктура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 и 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Профессиональное развитие внутри страны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left="-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ab/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Результаты опроса экспертов и расчеты. Метод Ранга</w:t>
      </w:r>
    </w:p>
    <w:tbl>
      <w:tblPr>
        <w:tblStyle w:val="a3"/>
        <w:tblW w:w="93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1"/>
        <w:gridCol w:w="1618"/>
        <w:gridCol w:w="1618"/>
        <w:gridCol w:w="1618"/>
        <w:gridCol w:w="1618"/>
        <w:gridCol w:w="1618"/>
      </w:tblGrid>
      <w:tr>
        <w:trPr/>
        <w:tc>
          <w:tcPr>
            <w:tcW w:w="125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</w:t>
              <w:br/>
              <w:t>Эксперта</w:t>
            </w:r>
          </w:p>
        </w:tc>
        <w:tc>
          <w:tcPr>
            <w:tcW w:w="8090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 альтернативы</w:t>
            </w:r>
          </w:p>
        </w:tc>
      </w:tr>
      <w:tr>
        <w:trPr/>
        <w:tc>
          <w:tcPr>
            <w:tcW w:w="125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5</w:t>
            </w:r>
          </w:p>
        </w:tc>
      </w:tr>
      <w:tr>
        <w:trPr/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</w:t>
            </w:r>
          </w:p>
        </w:tc>
      </w:tr>
      <w:tr>
        <w:trPr/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</w:t>
            </w:r>
          </w:p>
        </w:tc>
      </w:tr>
      <w:tr>
        <w:trPr/>
        <w:tc>
          <w:tcPr>
            <w:tcW w:w="1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10</w:t>
            </w:r>
          </w:p>
        </w:tc>
      </w:tr>
    </w:tbl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Для каждого эксперта вычисляем сумму оценок всех альтернатив</w:t>
      </w:r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36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b/>
          <w:bCs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40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36</m:t>
          </m:r>
        </m:oMath>
      </m:oMathPara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Составим матрицу нормированных оценок альтернатив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2"/>
        <w:gridCol w:w="1772"/>
        <w:gridCol w:w="1773"/>
        <w:gridCol w:w="1774"/>
        <w:gridCol w:w="1774"/>
        <w:gridCol w:w="999"/>
      </w:tblGrid>
      <w:tr>
        <w:trPr/>
        <w:tc>
          <w:tcPr>
            <w:tcW w:w="125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</w:t>
              <w:br/>
              <w:t>Эксперта</w:t>
            </w:r>
          </w:p>
        </w:tc>
        <w:tc>
          <w:tcPr>
            <w:tcW w:w="8092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Номер альтернативы</w:t>
            </w:r>
          </w:p>
        </w:tc>
      </w:tr>
      <w:tr>
        <w:trPr/>
        <w:tc>
          <w:tcPr>
            <w:tcW w:w="125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4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5</w:t>
            </w:r>
          </w:p>
        </w:tc>
      </w:tr>
      <w:tr>
        <w:trPr/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0.28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0.14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0.19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0.28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0.11</w:t>
            </w:r>
          </w:p>
        </w:tc>
      </w:tr>
      <w:tr>
        <w:trPr/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2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0.25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0.15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0.25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0.15</w:t>
            </w:r>
          </w:p>
        </w:tc>
      </w:tr>
      <w:tr>
        <w:trPr/>
        <w:tc>
          <w:tcPr>
            <w:tcW w:w="125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ru-RU" w:bidi="ar-SA"/>
              </w:rPr>
              <w:t>3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0.28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0.14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0.28</w:t>
            </w:r>
          </w:p>
        </w:tc>
        <w:tc>
          <w:tcPr>
            <w:tcW w:w="9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0.08</w:t>
            </w:r>
          </w:p>
        </w:tc>
      </w:tr>
    </w:tbl>
    <w:p>
      <w:pPr>
        <w:pStyle w:val="ListParagraph"/>
        <w:ind w:left="364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en-US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Вычислим искомые веса альтернатив</w:t>
      </w:r>
      <w:r>
        <w:rPr>
          <w:rFonts w:cs="Times New Roman" w:ascii="Times New Roman" w:hAnsi="Times New Roman"/>
          <w:iCs/>
          <w:sz w:val="24"/>
          <w:szCs w:val="24"/>
          <w:lang w:val="en-US"/>
        </w:rPr>
        <w:t>:</w:t>
      </w:r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0.28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0.25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0.28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0.162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0.1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0.15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0.14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0.086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0.19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0.118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0.2</m:t>
              </m:r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0.25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0.28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0.162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0.11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0.15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0.08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0.068</m:t>
          </m:r>
        </m:oMath>
      </m:oMathPara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>
      <w:pPr>
        <w:pStyle w:val="ListParagraph"/>
        <w:numPr>
          <w:ilvl w:val="0"/>
          <w:numId w:val="8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Экономическая мотивация и конкурентные условия труда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 и</w:t>
      </w:r>
    </w:p>
    <w:p>
      <w:pPr>
        <w:pStyle w:val="ListParagraph"/>
        <w:ind w:left="1440"/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8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Профессиональное развитие внутри страны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 xml:space="preserve">» </w:t>
      </w:r>
    </w:p>
    <w:p>
      <w:pPr>
        <w:pStyle w:val="ListParagraph"/>
        <w:numPr>
          <w:ilvl w:val="0"/>
          <w:numId w:val="8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Научно-технологическое развитие и инновационная инфраструктура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ind w:left="36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ind w:left="-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ab/>
        <w:t>Результаты опроса экспертов и расчеты. Метод полного попарного сравнения</w:t>
      </w:r>
    </w:p>
    <w:p>
      <w:pPr>
        <w:pStyle w:val="Normal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ab/>
        <w:t>Матрица частот эксперта 1</w:t>
      </w:r>
      <w:r>
        <w:rPr>
          <w:rFonts w:cs="Times New Roman" w:ascii="Times New Roman" w:hAnsi="Times New Roman"/>
          <w:sz w:val="24"/>
          <w:szCs w:val="24"/>
          <w:lang w:val="en-US"/>
        </w:rPr>
        <w:t>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7"/>
        <w:gridCol w:w="1557"/>
        <w:gridCol w:w="1556"/>
        <w:gridCol w:w="1559"/>
        <w:gridCol w:w="1559"/>
        <w:gridCol w:w="1556"/>
      </w:tblGrid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5/10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</w:tr>
      <w:tr>
        <w:trPr>
          <w:trHeight w:val="271" w:hRule="atLeast"/>
        </w:trPr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kern w:val="0"/>
                <w:sz w:val="22"/>
                <w:szCs w:val="22"/>
                <w:lang w:bidi="ar-SA"/>
              </w:rPr>
              <w:t>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ind w:firstLine="426"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Определим оценки предпочтения альтернатив для эксперта 1: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3.4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1.1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1.9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2.5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1.1</m:t>
          </m:r>
        </m:oMath>
      </m:oMathPara>
    </w:p>
    <w:p>
      <w:pPr>
        <w:pStyle w:val="Normal"/>
        <w:ind w:firstLine="426" w:left="-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cs="Times New Roman" w:ascii="Times New Roman" w:hAnsi="Times New Roman"/>
          <w:iCs/>
          <w:sz w:val="24"/>
          <w:szCs w:val="24"/>
          <w:lang w:val="en-US"/>
        </w:rPr>
        <w:t>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3.4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0.17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1.9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0.095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2.5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0.125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0.055</m:t>
          </m:r>
        </m:oMath>
      </m:oMathPara>
    </w:p>
    <w:p>
      <w:pPr>
        <w:pStyle w:val="Normal"/>
        <w:ind w:firstLine="426" w:left="-426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sz w:val="24"/>
          <w:szCs w:val="24"/>
          <w:lang w:val="ru-RU"/>
        </w:rPr>
      </w:r>
    </w:p>
    <w:p>
      <w:pPr>
        <w:pStyle w:val="Normal"/>
        <w:ind w:firstLine="426" w:left="-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Матрица частот эксперта </w:t>
      </w:r>
      <w:r>
        <w:rPr>
          <w:rFonts w:cs="Times New Roman" w:ascii="Times New Roman" w:hAnsi="Times New Roman"/>
          <w:sz w:val="24"/>
          <w:szCs w:val="24"/>
          <w:lang w:val="en-US"/>
        </w:rPr>
        <w:t>2: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7"/>
        <w:gridCol w:w="1557"/>
        <w:gridCol w:w="1556"/>
        <w:gridCol w:w="1559"/>
        <w:gridCol w:w="1559"/>
        <w:gridCol w:w="1556"/>
      </w:tblGrid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ind w:firstLine="426"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Определим оценки предпочтения альтернатив для эксперта 2: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3.6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1.6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1.7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2.1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ind w:firstLine="426" w:left="-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cs="Times New Roman" w:ascii="Times New Roman" w:hAnsi="Times New Roman"/>
          <w:iCs/>
          <w:sz w:val="24"/>
          <w:szCs w:val="24"/>
          <w:lang w:val="en-US"/>
        </w:rPr>
        <w:t>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3.6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0.18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1.6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0.08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1.7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0.085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2.1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0.105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</m:t>
          </m:r>
        </m:oMath>
      </m:oMathPara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Матрица частот эксперта </w:t>
      </w:r>
      <w:r>
        <w:rPr>
          <w:rFonts w:cs="Times New Roman" w:ascii="Times New Roman" w:hAnsi="Times New Roman"/>
          <w:sz w:val="24"/>
          <w:szCs w:val="24"/>
          <w:lang w:val="en-US"/>
        </w:rPr>
        <w:t>3: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7"/>
        <w:gridCol w:w="1557"/>
        <w:gridCol w:w="1556"/>
        <w:gridCol w:w="1559"/>
        <w:gridCol w:w="1559"/>
        <w:gridCol w:w="1556"/>
      </w:tblGrid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2/10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8/10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4/10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7/10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1/10</w:t>
            </w:r>
          </w:p>
        </w:tc>
      </w:tr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3/10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6/10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US" w:bidi="ar-SA"/>
              </w:rPr>
              <w:t>9/10</w:t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ind w:firstLine="426"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Определим оценки предпочтения альтернатив для эксперта 2: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3.6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1.3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1.8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7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2.3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ind w:firstLine="426" w:left="-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cs="Times New Roman" w:ascii="Times New Roman" w:hAnsi="Times New Roman"/>
          <w:iCs/>
          <w:sz w:val="24"/>
          <w:szCs w:val="24"/>
          <w:lang w:val="en-US"/>
        </w:rPr>
        <w:t>:</w:t>
      </w:r>
    </w:p>
    <w:p>
      <w:pPr>
        <w:pStyle w:val="Normal"/>
        <w:ind w:firstLine="426" w:left="-426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3.6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0.18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1.3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0.065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1.8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0.09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2.3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0.115</m:t>
          </m:r>
        </m:oMath>
      </m:oMathPara>
    </w:p>
    <w:p>
      <w:pPr>
        <w:pStyle w:val="Normal"/>
        <w:ind w:firstLine="426" w:left="-426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ϑ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</m:t>
          </m:r>
        </m:oMath>
      </m:oMathPara>
    </w:p>
    <w:p>
      <w:pPr>
        <w:pStyle w:val="Normal"/>
        <w:ind w:firstLine="426" w:left="-426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Определим итоговые искомые веса альтернатив:</w:t>
      </w:r>
    </w:p>
    <w:p>
      <w:pPr>
        <w:pStyle w:val="ListParagraph"/>
        <w:ind w:left="364"/>
        <w:jc w:val="center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0.17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.53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i/>
          <w:i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0.08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0.065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0.095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0.085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0.09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0.27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0.125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0.105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0.115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0.345</m:t>
          </m:r>
        </m:oMath>
      </m:oMathPara>
    </w:p>
    <w:p>
      <w:pPr>
        <w:pStyle w:val="ListParagraph"/>
        <w:ind w:left="36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5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0.055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0.05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0.155</m:t>
          </m:r>
        </m:oMath>
      </m:oMathPara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>
      <w:pPr>
        <w:pStyle w:val="ListParagraph"/>
        <w:numPr>
          <w:ilvl w:val="0"/>
          <w:numId w:val="9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Экономическая мотивация и конкурентные условия труда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9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9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Профессиональное развитие внутри страны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 xml:space="preserve">» </w:t>
      </w:r>
    </w:p>
    <w:p>
      <w:pPr>
        <w:pStyle w:val="ListParagraph"/>
        <w:numPr>
          <w:ilvl w:val="0"/>
          <w:numId w:val="9"/>
        </w:numPr>
        <w:rPr>
          <w:rStyle w:val="myxfac"/>
          <w:rFonts w:ascii="Times New Roman" w:hAnsi="Times New Roman" w:cs="Times New Roman"/>
          <w:sz w:val="24"/>
          <w:szCs w:val="24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Научно-технологическое развитие и инновационная инфраструктура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Выводы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Независимо от метода проведения тестирования среди экспертов были получен, как правило, один и тот же порядок следования приоритета альтернатив.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 ходе голосования и последующей обработки результатов выяснилось, что, по мнению экспертов, с большим отрывом наиболее эффективные результаты по борьбе против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утечки квалифицированных кадров из России могут принести действия по экономической мотивации и конкурентные условия труда. Из этого можно сделать вывод, что независимо от стажа, вида деятельности и мотивации касательно трудоустройства и компетенции каждый эксперт в первую очередь принимает во внимание финансовую сторону вопроса.</w:t>
      </w:r>
    </w:p>
    <w:p>
      <w:pPr>
        <w:pStyle w:val="ListParagraph"/>
        <w:numPr>
          <w:ilvl w:val="0"/>
          <w:numId w:val="1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Социальная и культурная привлекательность жизни в стране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 как правило занимает второе место, либо делит первое место в «экономической мотивацией»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«Научно-технологическое развитие и инновационная инфраструктура» и «Профессиональное развитие внутри страны» получили смешанные оценки. Они занимают 3 и 4 места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В свою очередь, как выяснилось, 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«</w:t>
      </w:r>
      <w:r>
        <w:rPr>
          <w:rStyle w:val="myxfac"/>
          <w:rFonts w:cs="Times New Roman" w:ascii="Times New Roman" w:hAnsi="Times New Roman"/>
          <w:sz w:val="24"/>
          <w:szCs w:val="24"/>
        </w:rPr>
        <w:t>Программа возвращения специалистов</w:t>
      </w:r>
      <w:r>
        <w:rPr>
          <w:rStyle w:val="myxfac"/>
          <w:rFonts w:cs="Times New Roman" w:ascii="Times New Roman" w:hAnsi="Times New Roman"/>
          <w:sz w:val="24"/>
          <w:szCs w:val="24"/>
          <w:lang w:val="ru-RU"/>
        </w:rPr>
        <w:t>» никак не заинтересовала экспертов. Она закономерно занимает последнее место. Вероятно, это связано с низкой проработанностью и жизнеспособностью возможной программы либо непониманием экспертов, что она из себя представляет.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364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4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6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78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0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2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4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6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38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08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44a8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8c7bd1"/>
    <w:rPr>
      <w:b/>
      <w:bCs/>
    </w:rPr>
  </w:style>
  <w:style w:type="character" w:styleId="myxfac" w:customStyle="1">
    <w:name w:val="myxfac"/>
    <w:basedOn w:val="DefaultParagraphFont"/>
    <w:qFormat/>
    <w:rsid w:val="0055363d"/>
    <w:rPr/>
  </w:style>
  <w:style w:type="character" w:styleId="PlaceholderText">
    <w:name w:val="Placeholder Text"/>
    <w:basedOn w:val="DefaultParagraphFont"/>
    <w:uiPriority w:val="99"/>
    <w:semiHidden/>
    <w:qFormat/>
    <w:rsid w:val="0055363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6453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64537"/>
    <w:rPr>
      <w:color w:val="605E5C"/>
      <w:shd w:fill="E1DFDD" w:val="clear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f7a6f"/>
    <w:pPr>
      <w:spacing w:before="0" w:after="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f7a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fTborPQpw8Ejagyy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Application>LibreOffice/24.8.7.2$Linux_X86_64 LibreOffice_project/480$Build-2</Application>
  <AppVersion>15.0000</AppVersion>
  <Pages>9</Pages>
  <Words>1218</Words>
  <Characters>8090</Characters>
  <CharactersWithSpaces>8954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2025-11-03T11:17:00Z</dcterms:created>
  <dc:creator>Никита</dc:creator>
  <dc:description/>
  <dc:language>ru-RU</dc:language>
  <cp:lastModifiedBy/>
  <dcterms:modified xsi:type="dcterms:W3CDTF">2025-11-21T21:13:54Z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