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bookmarkStart w:id="0" w:name="docs-internal-guid-cce3ea89-7fff-66ea-22"/>
      <w:bookmarkEnd w:id="0"/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ФЕДЕРАЛЬНОЕ ГОСУДАРСТВЕННОЕ БЮДЖЕТНОЕ ОБРАЗОВАТЕЛЬНОЕ УЧРЕЖДЕНИЕ ВЫСШЕГО ОБРАЗОВАНИЯ «НОВОСИБИРСКИЙ ГОСУДАРСТВЕННЫЙ ТЕХНИЧЕСКИЙ УНИВЕРСИТЕТ»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Кафедра вычислительных технологий 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ПРАКТИЧЕСКОЕ ЗАДАНИЕ №5 </w:t>
      </w:r>
    </w:p>
    <w:p>
      <w:pPr>
        <w:pStyle w:val="BodyText"/>
        <w:bidi w:val="0"/>
        <w:spacing w:lineRule="auto" w:line="331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 дисциплине «Численные методы» 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Факультет: ФПМИ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Группа: ПМИ-31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Вариант: 7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Студент: Долгополов И.И.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Преподаватель: Марков С.И. 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НОВОСИБИРСК, 2025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Цель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работы: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сформировать практические навыки применения правила Рунге для оценки ошибки численного интегрирования и уточнения по Ричардсону для повышения точности решения прикладных задач.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2. Формулировка задания: 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класс, реализующий любые две схемы численного интегрирования семейства Ньютона-Котеса и Гаусса с числом узлом интегрирования не менее двух.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eastAsia="DejaVu Sans" w:cs="Times New Roman" w:ascii="Times New Roman" w:hAnsi="Times New Roman" w:eastAsiaTheme="minorEastAsia"/>
          <w:sz w:val="28"/>
          <w:szCs w:val="28"/>
        </w:rPr>
        <w:t xml:space="preserve">Задайте на отрезке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>
          <w:rFonts w:eastAsia="DejaVu Sans" w:cs="Times New Roman" w:ascii="Times New Roman" w:hAnsi="Times New Roman" w:eastAsiaTheme="minorEastAsia"/>
          <w:sz w:val="28"/>
          <w:szCs w:val="28"/>
        </w:rPr>
        <w:t xml:space="preserve">непрерывную неполиномиальную функцию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ϕ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eastAsia="DejaVu Sans" w:cs="Times New Roman" w:ascii="Times New Roman" w:hAnsi="Times New Roman" w:eastAsiaTheme="minorEastAsia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eastAsia="DejaVu Sans" w:cs="Times New Roman" w:ascii="Times New Roman" w:hAnsi="Times New Roman" w:eastAsiaTheme="minorEastAsia"/>
          <w:sz w:val="28"/>
          <w:szCs w:val="28"/>
        </w:rPr>
        <w:t xml:space="preserve">Вычислить аналитически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I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  <m:r>
          <w:rPr>
            <w:rFonts w:ascii="Cambria Math" w:hAnsi="Cambria Math"/>
          </w:rPr>
          <m:t xml:space="preserve">=</m:t>
        </m:r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b</m:t>
            </m:r>
          </m:sup>
          <m:e>
            <m:r>
              <w:rPr>
                <w:rFonts w:ascii="Cambria Math" w:hAnsi="Cambria Math"/>
              </w:rPr>
              <m:t xml:space="preserve">ϕ</m:t>
            </m:r>
          </m:e>
        </m:nary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dx</m:t>
        </m:r>
      </m:oMath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/>
          <w:sz w:val="28"/>
          <w:szCs w:val="28"/>
        </w:rPr>
      </w:pPr>
      <w:r>
        <w:rPr/>
        <w:t xml:space="preserve">Для отрезка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/>
        <w:t xml:space="preserve"> постройте три вложенные сетки с равномерным шагом h, h/2 и h/4. Для каждой из реализованных схем численного интегрирования выполните оценку порядка аппроксимации относительно шага равномерного сеточного разбиения.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/>
          <w:sz w:val="28"/>
          <w:szCs w:val="28"/>
        </w:rPr>
      </w:pPr>
      <w:r>
        <w:rPr/>
        <w:t>Для каждой квадратурной формулы заполнить следующую таблицу (все значения приводить в экспоненциальной форме)</w:t>
      </w:r>
    </w:p>
    <w:p>
      <w:pPr>
        <w:pStyle w:val="ListParagraph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9725" cy="1054735"/>
            <wp:effectExtent l="0" t="0" r="0" b="0"/>
            <wp:wrapTopAndBottom/>
            <wp:docPr id="1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25" cy="105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bidi w:val="0"/>
        <w:ind w:hanging="0" w:left="720"/>
        <w:jc w:val="left"/>
        <w:rPr/>
      </w:pPr>
      <w:r>
        <w:rPr/>
        <w:t xml:space="preserve">где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I</m:t>
            </m:r>
          </m:e>
          <m:sup>
            <m:r>
              <w:rPr>
                <w:rFonts w:ascii="Cambria Math" w:hAnsi="Cambria Math"/>
              </w:rPr>
              <m:t xml:space="preserve">h</m:t>
            </m:r>
          </m:sup>
        </m:sSup>
      </m:oMath>
      <w:r>
        <w:rPr/>
        <w:t xml:space="preserve"> – вычисленное значение интеграла на равномерной сетке с шагом h, k – порядок малости остаточного члена (аналитический порядок аппроксимации квадратурной формулы),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I</m:t>
            </m:r>
          </m:e>
          <m:sup>
            <m:r>
              <w:rPr>
                <w:rFonts w:ascii="Cambria Math" w:hAnsi="Cambria Math"/>
              </w:rPr>
              <m:t xml:space="preserve">R</m:t>
            </m:r>
          </m:sup>
        </m:sSup>
      </m:oMath>
      <w:r>
        <w:rPr/>
        <w:t xml:space="preserve"> – уточнение по Ричардсону.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С помощью AI-ассистента DeepSeek решите предыдущую задачу о выборе схемы численного интегрирования максимальной точности. Какие явные недостатки можно обнаружить? Промт. Оптимальный метод численного интегрирования Int{exp(x)}dx x in [0,1] с максимальной точностью?</w:t>
      </w:r>
    </w:p>
    <w:p>
      <w:pPr>
        <w:pStyle w:val="ListParagraph"/>
        <w:bidi w:val="0"/>
        <w:jc w:val="left"/>
        <w:rPr/>
      </w:pPr>
      <w:r>
        <w:rPr/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  <w:t>3. Вариант задания: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№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0.00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0.74</w:t>
            </w:r>
          </w:p>
        </w:tc>
      </w:tr>
    </w:tbl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  <w:t>4.Ссылка на код проекта:</w:t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ind w:hanging="0" w:left="0"/>
        <w:jc w:val="left"/>
        <w:rPr>
          <w:b/>
          <w:bCs/>
        </w:rPr>
      </w:pPr>
      <w:r>
        <w:rPr>
          <w:b/>
          <w:bCs/>
        </w:rPr>
        <w:t>5. Ход работы:</w:t>
      </w:r>
    </w:p>
    <w:p>
      <w:pPr>
        <w:pStyle w:val="ListParagraph"/>
        <w:bidi w:val="0"/>
        <w:ind w:hanging="0" w:left="0"/>
        <w:jc w:val="left"/>
        <w:rPr/>
      </w:pPr>
      <w:r>
        <w:rPr/>
      </w:r>
    </w:p>
    <w:p>
      <w:pPr>
        <w:pStyle w:val="ListParagraph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1. Мной были разработаны</w:t>
      </w:r>
      <w:r>
        <w:rPr>
          <w:rFonts w:cs="Times New Roman" w:ascii="Times New Roman" w:hAnsi="Times New Roman"/>
          <w:sz w:val="28"/>
          <w:szCs w:val="28"/>
        </w:rPr>
        <w:t xml:space="preserve"> класс</w:t>
      </w:r>
      <w:r>
        <w:rPr>
          <w:rFonts w:cs="Times New Roman" w:ascii="Times New Roman" w:hAnsi="Times New Roman"/>
          <w:sz w:val="28"/>
          <w:szCs w:val="28"/>
        </w:rPr>
        <w:t>ы</w:t>
      </w:r>
      <w:r>
        <w:rPr>
          <w:rFonts w:cs="Times New Roman" w:ascii="Times New Roman" w:hAnsi="Times New Roman"/>
          <w:sz w:val="28"/>
          <w:szCs w:val="28"/>
        </w:rPr>
        <w:t xml:space="preserve"> с реализацией двух схем численного интегрирования из семейства Ньютона-Котеса и Гаусса, метода трапеций и метода Симпсона.</w:t>
      </w:r>
    </w:p>
    <w:p>
      <w:pPr>
        <w:pStyle w:val="ListParagraph"/>
        <w:jc w:val="left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037840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03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Зададим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в качестве непрерывной неполиномиальной функции.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" w:cs="Times New Roman" w:eastAsiaTheme="minorEastAsia"/>
          <w:sz w:val="28"/>
          <w:szCs w:val="28"/>
        </w:rPr>
      </w:pP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Вычислим аналитически: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I</m:t>
            </m:r>
          </m:e>
          <m:sup/>
        </m:sSup>
        <m:r>
          <w:rPr>
            <w:rFonts w:ascii="Cambria Math" w:hAnsi="Cambria Math"/>
          </w:rPr>
          <m:t xml:space="preserve">=</m:t>
        </m:r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b</m:t>
            </m:r>
          </m:sup>
          <m:e>
            <m:r>
              <w:rPr>
                <w:rFonts w:ascii="Cambria Math" w:hAnsi="Cambria Math"/>
              </w:rPr>
              <m:t xml:space="preserve">φ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x</m:t>
            </m:r>
          </m:e>
        </m:nary>
        <m:r>
          <w:rPr>
            <w:rFonts w:ascii="Cambria Math" w:hAnsi="Cambria Math"/>
          </w:rPr>
          <m:t xml:space="preserve">=</m:t>
        </m:r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0.07</m:t>
            </m:r>
          </m:sub>
          <m:sup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.73</m:t>
            </m:r>
          </m:sup>
          <m:e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≈</m:t>
            </m:r>
            <m:r>
              <w:rPr>
                <w:rFonts w:ascii="Cambria Math" w:hAnsi="Cambria Math"/>
              </w:rPr>
              <m:t xml:space="preserve">1.142687</m:t>
            </m:r>
          </m:e>
        </m:nary>
      </m:oMath>
      <w:r>
        <w:rPr>
          <w:rFonts w:eastAsia="" w:cs="Times New Roman" w:ascii="Times New Roman" w:hAnsi="Times New Roman" w:eastAsiaTheme="minorEastAsia"/>
          <w:sz w:val="28"/>
          <w:szCs w:val="28"/>
        </w:rPr>
        <w:t>.</w:t>
      </w:r>
    </w:p>
    <w:p>
      <w:pPr>
        <w:pStyle w:val="ListParagraph"/>
        <w:rPr>
          <w:rFonts w:ascii="Times New Roman" w:hAnsi="Times New Roman" w:eastAsia="" w:cs="Times New Roman" w:eastAsiaTheme="minorEastAsia"/>
          <w:sz w:val="28"/>
          <w:szCs w:val="28"/>
          <w:lang w:val="en-US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" w:cs="Times New Roman" w:eastAsiaTheme="minorEastAsia"/>
          <w:sz w:val="28"/>
          <w:szCs w:val="28"/>
        </w:rPr>
      </w:pPr>
      <w:r>
        <w:rPr>
          <w:rFonts w:eastAsia="" w:cs="Times New Roman" w:ascii="Times New Roman" w:hAnsi="Times New Roman" w:eastAsiaTheme="minorEastAsia"/>
          <w:sz w:val="28"/>
          <w:szCs w:val="28"/>
        </w:rPr>
        <w:t>Представим результаты для каждой квадратурной формулы:</w:t>
      </w:r>
    </w:p>
    <w:p>
      <w:pPr>
        <w:pStyle w:val="ListParagraph"/>
        <w:rPr>
          <w:rFonts w:ascii="Times New Roman" w:hAnsi="Times New Roman" w:eastAsia="" w:cs="Times New Roman" w:eastAsiaTheme="minorEastAsia"/>
          <w:sz w:val="28"/>
          <w:szCs w:val="28"/>
        </w:rPr>
      </w:pPr>
      <w:r>
        <w:rPr/>
      </w:r>
    </w:p>
    <w:p>
      <w:pPr>
        <w:pStyle w:val="ListParagraph"/>
        <w:rPr>
          <w:rFonts w:ascii="Times New Roman" w:hAnsi="Times New Roman" w:eastAsia="" w:cs="Times New Roman" w:eastAsiaTheme="minorEastAsia"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</w:rPr>
        <w:t>Метод трапеций</w:t>
      </w:r>
    </w:p>
    <w:p>
      <w:pPr>
        <w:pStyle w:val="ListParagraph"/>
        <w:rPr>
          <w:rFonts w:ascii="Times New Roman" w:hAnsi="Times New Roman" w:eastAsia="" w:cs="Times New Roman" w:eastAsiaTheme="minorEastAsia"/>
          <w:sz w:val="28"/>
          <w:szCs w:val="28"/>
        </w:rPr>
      </w:pPr>
      <w:r>
        <w:rPr/>
      </w:r>
    </w:p>
    <w:tbl>
      <w:tblPr>
        <w:tblStyle w:val="ac"/>
        <w:tblW w:w="8914" w:type="dxa"/>
        <w:jc w:val="left"/>
        <w:tblInd w:w="8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7"/>
        <w:gridCol w:w="1707"/>
        <w:gridCol w:w="1597"/>
        <w:gridCol w:w="1637"/>
        <w:gridCol w:w="1597"/>
        <w:gridCol w:w="1689"/>
      </w:tblGrid>
      <w:tr>
        <w:trPr>
          <w:trHeight w:val="974" w:hRule="atLeast"/>
        </w:trPr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h</m:t>
                    </m:r>
                  </m:sup>
                </m:sSup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  <w:tc>
          <w:tcPr>
            <w:tcW w:w="16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</w:tr>
      <w:tr>
        <w:trPr/>
        <w:tc>
          <w:tcPr>
            <w:tcW w:w="687" w:type="dxa"/>
            <w:tcBorders/>
          </w:tcPr>
          <w:p>
            <w:pPr>
              <w:pStyle w:val="Style17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0.19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Aptos" w:cs="" w:ascii="Aptos" w:hAnsi="Aptos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-3.123917915907048e-03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3.998290247747700e+00</w:t>
            </w:r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-7.808681579419829e-04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1.095935959778503e+00</w:t>
            </w:r>
          </w:p>
        </w:tc>
        <w:tc>
          <w:tcPr>
            <w:tcW w:w="16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-4.452841391167084e-07</w:t>
            </w:r>
          </w:p>
        </w:tc>
      </w:tr>
      <w:tr>
        <w:trPr>
          <w:trHeight w:val="974" w:hRule="atLeast"/>
        </w:trPr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h</m:t>
                    </m:r>
                  </m:sup>
                </m:sSup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  <w:tc>
          <w:tcPr>
            <w:tcW w:w="16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</w:tr>
      <w:tr>
        <w:trPr/>
        <w:tc>
          <w:tcPr>
            <w:tcW w:w="687" w:type="dxa"/>
            <w:tcBorders/>
          </w:tcPr>
          <w:p>
            <w:pPr>
              <w:pStyle w:val="Style17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0.09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Aptos" w:cs="" w:ascii="Aptos" w:hAnsi="Aptos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 xml:space="preserve">-7.813134420810997e-04 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3.999572281168369e+00</w:t>
            </w:r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-1.953213976408907e-04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1.095935542345882e+00</w:t>
            </w:r>
          </w:p>
        </w:tc>
        <w:tc>
          <w:tcPr>
            <w:tcW w:w="16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-2.785151753670334e-08</w:t>
            </w:r>
          </w:p>
        </w:tc>
      </w:tr>
      <w:tr>
        <w:trPr>
          <w:trHeight w:val="974" w:hRule="atLeast"/>
        </w:trPr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h</m:t>
                    </m:r>
                  </m:sup>
                </m:sSup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  <w:tc>
          <w:tcPr>
            <w:tcW w:w="16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</w:tr>
      <w:tr>
        <w:trPr/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0.05</w:t>
            </w:r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-1.953492491584274e-04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3.999893052731600e+00</w:t>
            </w:r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-1.953213976408907e-04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1.095935516235417e+00</w:t>
            </w:r>
          </w:p>
        </w:tc>
        <w:tc>
          <w:tcPr>
            <w:tcW w:w="168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-1.741052191306380e-09</w:t>
            </w:r>
          </w:p>
        </w:tc>
      </w:tr>
    </w:tbl>
    <w:p>
      <w:pPr>
        <w:pStyle w:val="ListParagraph"/>
        <w:rPr>
          <w:rFonts w:ascii="Times New Roman" w:hAnsi="Times New Roman" w:eastAsia="" w:cs="Times New Roman" w:eastAsiaTheme="minorEastAsia"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</w:rPr>
        <w:t>Метод Симпсона</w:t>
        <w:br/>
      </w:r>
    </w:p>
    <w:tbl>
      <w:tblPr>
        <w:tblStyle w:val="ac"/>
        <w:tblW w:w="8914" w:type="dxa"/>
        <w:jc w:val="left"/>
        <w:tblInd w:w="8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7"/>
        <w:gridCol w:w="1707"/>
        <w:gridCol w:w="1597"/>
        <w:gridCol w:w="1637"/>
        <w:gridCol w:w="1597"/>
        <w:gridCol w:w="1688"/>
      </w:tblGrid>
      <w:tr>
        <w:trPr>
          <w:trHeight w:val="974" w:hRule="atLeast"/>
        </w:trPr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h</m:t>
                    </m:r>
                  </m:sup>
                </m:sSup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  <w:tc>
          <w:tcPr>
            <w:tcW w:w="168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</w:tr>
      <w:tr>
        <w:trPr/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0.</w:t>
            </w: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-7.102850368090330e-06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1.595127637418202e+01</w:t>
            </w:r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-4.438377485982414e-07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1.095935515940755e+00</w:t>
            </w:r>
          </w:p>
        </w:tc>
        <w:tc>
          <w:tcPr>
            <w:tcW w:w="168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-1.446390562875877e-09</w:t>
            </w:r>
          </w:p>
        </w:tc>
      </w:tr>
      <w:tr>
        <w:trPr>
          <w:trHeight w:val="974" w:hRule="atLeast"/>
        </w:trPr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h</m:t>
                    </m:r>
                  </m:sup>
                </m:sSup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  <w:tc>
          <w:tcPr>
            <w:tcW w:w="168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</w:tr>
      <w:tr>
        <w:trPr/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0.</w:t>
            </w: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09</w:t>
            </w:r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-7.102850368090330e-06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1.598778719974239e+01</w:t>
            </w:r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-2.782884142386403e-08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1.095935514517041e+00</w:t>
            </w:r>
          </w:p>
        </w:tc>
        <w:tc>
          <w:tcPr>
            <w:tcW w:w="168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-2.267630527796882e-11</w:t>
            </w:r>
          </w:p>
        </w:tc>
      </w:tr>
      <w:tr>
        <w:trPr>
          <w:trHeight w:val="974" w:hRule="atLeast"/>
        </w:trPr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h</m:t>
                    </m:r>
                  </m:sup>
                </m:sSup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/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f>
                          <m:fPr>
                            <m:type m:val="lin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  <w:tc>
          <w:tcPr>
            <w:tcW w:w="168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eastAsia="" w:cs="Times New Roman" w:eastAsiaTheme="minorEastAsia"/>
                <w:i/>
                <w:i/>
                <w:sz w:val="24"/>
                <w:szCs w:val="24"/>
                <w:lang w:val="en-US"/>
              </w:rPr>
            </w:pPr>
            <w:r>
              <w:rPr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</w:tc>
      </w:tr>
      <w:tr>
        <w:trPr/>
        <w:tc>
          <w:tcPr>
            <w:tcW w:w="68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US" w:eastAsia="en-US" w:bidi="ar-SA"/>
              </w:rPr>
              <w:t>0.05</w:t>
            </w:r>
          </w:p>
        </w:tc>
        <w:tc>
          <w:tcPr>
            <w:tcW w:w="17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-2.785151775874795e-08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1.599694388587787e+01</w:t>
            </w:r>
          </w:p>
        </w:tc>
        <w:tc>
          <w:tcPr>
            <w:tcW w:w="163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-1.740697689693131e-09</w:t>
            </w:r>
          </w:p>
        </w:tc>
        <w:tc>
          <w:tcPr>
            <w:tcW w:w="159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1.095935514494719e+00</w:t>
            </w:r>
          </w:p>
        </w:tc>
        <w:tc>
          <w:tcPr>
            <w:tcW w:w="168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ru-RU" w:eastAsia="en-US" w:bidi="ar-SA"/>
              </w:rPr>
              <w:t>--3.548272786702000e-13</w:t>
            </w:r>
          </w:p>
        </w:tc>
      </w:tr>
    </w:tbl>
    <w:p>
      <w:pPr>
        <w:pStyle w:val="ListParagraph"/>
        <w:rPr>
          <w:rFonts w:ascii="Times New Roman" w:hAnsi="Times New Roman" w:eastAsia="" w:cs="Times New Roman" w:eastAsiaTheme="minorEastAsia"/>
          <w:sz w:val="28"/>
          <w:szCs w:val="28"/>
        </w:rPr>
      </w:pPr>
      <w:r>
        <w:rPr/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variable"/>
  </w:font>
  <w:font w:name="Apto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8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LibreOffice/24.8.7.2$Linux_X86_64 LibreOffice_project/480$Build-2</Application>
  <AppVersion>15.0000</AppVersion>
  <Pages>4</Pages>
  <Words>287</Words>
  <Characters>2414</Characters>
  <CharactersWithSpaces>2658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2025-11-19T17:27:11Z</dcterms:created>
  <dc:creator/>
  <dc:description/>
  <dc:language>ru-RU</dc:language>
  <cp:lastModifiedBy/>
  <dcterms:modified xsi:type="dcterms:W3CDTF">2025-11-26T18:23:27Z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