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Noto Sans CJK TC" w:cs="Noto Sans CJK TC" w:eastAsia="Noto Sans CJK TC" w:hAnsi="Noto Sans CJK TC"/>
          <w:b/>
          <w:bCs/>
          <w:color w:val="1F3B57"/>
          <w:sz w:val="44"/>
          <w:szCs w:val="44"/>
        </w:rPr>
        <w:t xml:space="preserve">RAG 組 — 提案報告書</w:t>
      </w:r>
    </w:p>
    <w:p>
      <w:pPr>
        <w:pBdr>
          <w:bottom w:val="single" w:color="C3D2DE" w:sz="8" w:space="8"/>
        </w:pBdr>
        <w:spacing w:after="200"/>
      </w:pPr>
      <w:r>
        <w:rPr>
          <w:rFonts w:ascii="Noto Sans CJK TC" w:cs="Noto Sans CJK TC" w:eastAsia="Noto Sans CJK TC" w:hAnsi="Noto Sans CJK TC"/>
          <w:color w:val="5A7A94"/>
          <w:sz w:val="26"/>
          <w:szCs w:val="26"/>
        </w:rPr>
        <w:t xml:space="preserve">Milestone 1 成果與 Milestone 2 提案骨架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項目</w:t>
            </w:r>
          </w:p>
        </w:tc>
        <w:tc>
          <w:tcPr>
            <w:tcW w:type="dxa" w:w="76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專案</w:t>
            </w:r>
          </w:p>
        </w:tc>
        <w:tc>
          <w:tcPr>
            <w:tcW w:type="dxa" w:w="7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糖尿病病患衛教 Chatbot — Modular Hybrid RAG（Vector RAG + Graph RAG + CRAG-style Evaluator）</w:t>
            </w:r>
          </w:p>
        </w:tc>
      </w:tr>
      <w:tr>
        <w:tc>
          <w:tcPr>
            <w:tcW w:type="dxa" w:w="17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提交對象</w:t>
            </w:r>
          </w:p>
        </w:tc>
        <w:tc>
          <w:tcPr>
            <w:tcW w:type="dxa" w:w="76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版本 / 日期</w:t>
            </w:r>
          </w:p>
        </w:tc>
        <w:tc>
          <w:tcPr>
            <w:tcW w:type="dxa" w:w="7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 草案（M1 成果報告）｜2026/08/24</w:t>
            </w:r>
          </w:p>
        </w:tc>
      </w:tr>
      <w:tr>
        <w:tc>
          <w:tcPr>
            <w:tcW w:type="dxa" w:w="17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撰寫依據</w:t>
            </w:r>
          </w:p>
        </w:tc>
        <w:tc>
          <w:tcPr>
            <w:tcW w:type="dxa" w:w="76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《RAG 組 — 提案計劃書 Kickoff_v1》第 3–6 節；RAG 組 7 份 M1 產出；LLM 組《LLM組與RAG組對齊問題》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狀態說明</w:t>
            </w:r>
          </w:p>
        </w:tc>
        <w:tc>
          <w:tcPr>
            <w:tcW w:type="dxa" w:w="7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本文件為 M1 成果報告與 M2 提案骨架。未完成項目以 [TBD] 標示並註明補齊時程，不以推論填補。</w:t>
            </w:r>
          </w:p>
        </w:tc>
      </w:tr>
    </w:tbl>
    <w:p>
      <w:pPr>
        <w:pStyle w:val="Heading1"/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1F3B57"/>
          <w:sz w:val="28"/>
          <w:szCs w:val="28"/>
        </w:rPr>
        <w:t xml:space="preserve">一、摘要</w:t>
      </w:r>
    </w:p>
    <w:p>
      <w:pPr>
        <w:spacing w:after="120" w:before="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Milestone 1 的目標是「解除跨組依賴」——把其他團隊需要依賴的介面先產出，讓後續能平行作業，而非把細節寫完。以此標準衡量，本組七項產出中五項完整、兩項部分完成，且七份文件經一輪交叉校對後已收斂到同一套術語與同一份 schema。可以進入 M2。</w:t>
      </w:r>
    </w:p>
    <w:p>
      <w:pPr>
        <w:spacing w:after="120" w:before="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兩條資料管線都已超出「紙上規劃」：Graph 管道以 4 篇真實文件試抽收斂出 schema v3（6 種節點、10 種關係），產出 37 條通過型別驗證的三元組；Vector 管道以 5 篇真實公告完成語意切分，85 個 chunk 全數完成向量化。兩條管道使用同一套來源編號，可逐篇比對同一份原文。</w:t>
      </w:r>
    </w:p>
    <w:p>
      <w:pPr>
        <w:spacing w:after="120" w:before="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本報告同時誠實呈現三項尚未解決的問題，其中兩項需要 PM 協助（見第七節）。</w:t>
      </w:r>
    </w:p>
    <w:p>
      <w:pPr>
        <w:spacing w:after="1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0E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20"/>
                <w:szCs w:val="20"/>
              </w:rPr>
              <w:t xml:space="preserve">需要 PM 在本次會議裁示的三件事</w:t>
            </w:r>
          </w:p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全組共用範例查詢在最新分工下不會進入 RAG，需確認本組建議的分層處理方式（第四節）。</w:t>
            </w:r>
          </w:p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風險等級對映目前沒有臨床專業人員審核。這是醫療衛教應用最實質的風險。</w:t>
            </w:r>
          </w:p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旗艦查詢（metformin + 腎功能）缺乏本地權威資料來源，目前以美國 FDA 仿單暫代。</w:t>
            </w:r>
          </w:p>
        </w:tc>
      </w:tr>
    </w:tbl>
    <w:p>
      <w:pPr>
        <w:pStyle w:val="Heading1"/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1F3B57"/>
          <w:sz w:val="28"/>
          <w:szCs w:val="28"/>
        </w:rPr>
        <w:t xml:space="preserve">二、專案定位與本組職責</w:t>
      </w:r>
    </w:p>
    <w:p>
      <w:pPr>
        <w:spacing w:after="120" w:before="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本系統採 Modular Hybrid RAG，與 LLM 組的五段式架構對接。整體管線與職責分界如下：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階段</w:t>
            </w:r>
          </w:p>
        </w:tc>
        <w:tc>
          <w:tcPr>
            <w:tcW w:type="dxa" w:w="22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負責團隊</w:t>
            </w:r>
          </w:p>
        </w:tc>
        <w:tc>
          <w:tcPr>
            <w:tcW w:type="dxa" w:w="49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職責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Input Router / Policy Gate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LLM 組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判斷使用者問題的意圖與風險，決定是否放行進入 RAG。僅一般衛教問題可通過。</w:t>
            </w:r>
          </w:p>
        </w:tc>
      </w:tr>
      <w:tr>
        <w:tc>
          <w:tcPr>
            <w:tcW w:type="dxa" w:w="22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Retrieval（Vector / Graph）</w:t>
            </w:r>
          </w:p>
        </w:tc>
        <w:tc>
          <w:tcPr>
            <w:tcW w:type="dxa" w:w="22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本組</w:t>
            </w:r>
          </w:p>
        </w:tc>
        <w:tc>
          <w:tcPr>
            <w:tcW w:type="dxa" w:w="49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在邊界允許的範圍內檢索，回傳帶來源、分數與結構化關係的 Chunk。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Contract Gate / Context Gate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LLM 組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驗證格式、判斷資料是否可信且足夠。</w:t>
            </w:r>
          </w:p>
        </w:tc>
      </w:tr>
      <w:tr>
        <w:tc>
          <w:tcPr>
            <w:tcW w:type="dxa" w:w="22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Generator / Output Gate</w:t>
            </w:r>
          </w:p>
        </w:tc>
        <w:tc>
          <w:tcPr>
            <w:tcW w:type="dxa" w:w="22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LLM 組</w:t>
            </w:r>
          </w:p>
        </w:tc>
        <w:tc>
          <w:tcPr>
            <w:tcW w:type="dxa" w:w="49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產生回答並做最後安全檢查，必要時轉介醫師或藥師。</w:t>
            </w:r>
          </w:p>
        </w:tc>
      </w:tr>
    </w:tbl>
    <w:p>
      <w:pPr>
        <w:spacing w:after="1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本組內部再分為三個團隊：Preprocessing（兩條資料管線）、Multi-RAG（查詢路由與輸出契約）、Boundary（邊界與限制機制）。</w:t>
      </w:r>
    </w:p>
    <w:p>
      <w:pPr>
        <w:pStyle w:val="Heading1"/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1F3B57"/>
          <w:sz w:val="28"/>
          <w:szCs w:val="28"/>
        </w:rPr>
        <w:t xml:space="preserve">三、Milestone 1 成果</w:t>
      </w:r>
    </w:p>
    <w:p>
      <w:pPr>
        <w:pStyle w:val="Heading2"/>
        <w:spacing w:after="120" w:before="240"/>
      </w:pPr>
      <w:r>
        <w:rPr>
          <w:rFonts w:ascii="Noto Sans CJK TC" w:cs="Noto Sans CJK TC" w:eastAsia="Noto Sans CJK TC" w:hAnsi="Noto Sans CJK TC"/>
          <w:b/>
          <w:bCs/>
          <w:color w:val="2E5A7D"/>
          <w:sz w:val="23"/>
          <w:szCs w:val="23"/>
        </w:rPr>
        <w:t xml:space="preserve">3.1 交付完成度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1100"/>
        <w:gridCol w:w="2860"/>
      </w:tblGrid>
      <w:tr>
        <w:trPr>
          <w:tblHeader/>
        </w:trPr>
        <w:tc>
          <w:tcPr>
            <w:tcW w:type="dxa" w:w="15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團隊 / 成員</w:t>
            </w:r>
          </w:p>
        </w:tc>
        <w:tc>
          <w:tcPr>
            <w:tcW w:type="dxa" w:w="39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Kickoff 要求的產出</w:t>
            </w:r>
          </w:p>
        </w:tc>
        <w:tc>
          <w:tcPr>
            <w:tcW w:type="dxa" w:w="11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狀態</w:t>
            </w:r>
          </w:p>
        </w:tc>
        <w:tc>
          <w:tcPr>
            <w:tcW w:type="dxa" w:w="28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Multi-RAG A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查詢類型分類表（6–10 種）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完成</w:t>
            </w:r>
          </w:p>
        </w:tc>
        <w:tc>
          <w:tcPr>
            <w:tcW w:type="dxa" w:w="2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 種類型，Intent × Risk × Context 多軸架構</w:t>
            </w:r>
          </w:p>
        </w:tc>
      </w:tr>
      <w:tr>
        <w:tc>
          <w:tcPr>
            <w:tcW w:type="dxa" w:w="1500"/>
            <w:shd w:fill="FD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Multi-RAG B</w:t>
            </w:r>
          </w:p>
        </w:tc>
        <w:tc>
          <w:tcPr>
            <w:tcW w:type="dxa" w:w="3900"/>
            <w:shd w:fill="FD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 schema 草案 + 合併策略說明</w:t>
            </w:r>
          </w:p>
        </w:tc>
        <w:tc>
          <w:tcPr>
            <w:tcW w:type="dxa" w:w="1100"/>
            <w:shd w:fill="FD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</w:t>
            </w:r>
          </w:p>
        </w:tc>
        <w:tc>
          <w:tcPr>
            <w:tcW w:type="dxa" w:w="2860"/>
            <w:shd w:fill="FD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契約完成；合併策略尚未撰寫（8/25 補）</w:t>
            </w:r>
          </w:p>
        </w:tc>
      </w:tr>
      <w:tr>
        <w:tc>
          <w:tcPr>
            <w:tcW w:type="dxa" w:w="1500"/>
            <w:shd w:fill="FD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Preprocessing A</w:t>
            </w:r>
          </w:p>
        </w:tc>
        <w:tc>
          <w:tcPr>
            <w:tcW w:type="dxa" w:w="3900"/>
            <w:shd w:fill="FD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流程圖 + 模型選擇說明 + 試切結果</w:t>
            </w:r>
          </w:p>
        </w:tc>
        <w:tc>
          <w:tcPr>
            <w:tcW w:type="dxa" w:w="1100"/>
            <w:shd w:fill="FD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</w:t>
            </w:r>
          </w:p>
        </w:tc>
        <w:tc>
          <w:tcPr>
            <w:tcW w:type="dxa" w:w="2860"/>
            <w:shd w:fill="FD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流程圖與試切完成；決策紀錄尚未撰寫（8/25 補）</w:t>
            </w:r>
          </w:p>
        </w:tc>
      </w:tr>
      <w:tr>
        <w:tc>
          <w:tcPr>
            <w:tcW w:type="dxa" w:w="15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Preprocessing B</w:t>
            </w:r>
          </w:p>
        </w:tc>
        <w:tc>
          <w:tcPr>
            <w:tcW w:type="dxa" w:w="39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工作流圖 + schema 草案 + 試抽結果</w:t>
            </w:r>
          </w:p>
        </w:tc>
        <w:tc>
          <w:tcPr>
            <w:tcW w:type="dxa" w:w="11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完成</w:t>
            </w:r>
          </w:p>
        </w:tc>
        <w:tc>
          <w:tcPr>
            <w:tcW w:type="dxa" w:w="28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schema v3、37 條三元組、程式碼與決策紀錄齊全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Boundary A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設計階段邊界清單 + 理由 + 改動代價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完成</w:t>
            </w:r>
          </w:p>
        </w:tc>
        <w:tc>
          <w:tcPr>
            <w:tcW w:type="dxa" w:w="2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項邊界，均附代表性文獻</w:t>
            </w:r>
          </w:p>
        </w:tc>
      </w:tr>
      <w:tr>
        <w:tc>
          <w:tcPr>
            <w:tcW w:type="dxa" w:w="15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Boundary B</w:t>
            </w:r>
          </w:p>
        </w:tc>
        <w:tc>
          <w:tcPr>
            <w:tcW w:type="dxa" w:w="39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執行階段限制清單 + 與 LLM 組介面</w:t>
            </w:r>
          </w:p>
        </w:tc>
        <w:tc>
          <w:tcPr>
            <w:tcW w:type="dxa" w:w="11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完成</w:t>
            </w:r>
          </w:p>
        </w:tc>
        <w:tc>
          <w:tcPr>
            <w:tcW w:type="dxa" w:w="28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三項待確認事項 LLM 組已回覆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Boundary C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失敗模式表 + 六類測試案例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完成</w:t>
            </w:r>
          </w:p>
        </w:tc>
        <w:tc>
          <w:tcPr>
            <w:tcW w:type="dxa" w:w="2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項失敗模式，均對應 metformin 情境</w:t>
            </w:r>
          </w:p>
        </w:tc>
      </w:tr>
    </w:tbl>
    <w:p>
      <w:pPr>
        <w:pStyle w:val="Heading2"/>
        <w:spacing w:after="120" w:before="240"/>
      </w:pPr>
      <w:r>
        <w:rPr>
          <w:rFonts w:ascii="Noto Sans CJK TC" w:cs="Noto Sans CJK TC" w:eastAsia="Noto Sans CJK TC" w:hAnsi="Noto Sans CJK TC"/>
          <w:b/>
          <w:bCs/>
          <w:color w:val="2E5A7D"/>
          <w:sz w:val="23"/>
          <w:szCs w:val="23"/>
        </w:rPr>
        <w:t xml:space="preserve">3.2 Graph 管道（知識圖譜）</w:t>
      </w:r>
    </w:p>
    <w:p>
      <w:pPr>
        <w:spacing w:after="120" w:before="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採「LLM 輔助為主、規則式欄位對映為輔」的抽取方式。原先假設 TFDA 資料為結構化仿單、可用規則式處理，實際檢視後發現是敘事性的風險溝通公告，因此修正了分工。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schema v3：6 種節點型別、10 種關係型別，以 4 篇真實文件手動試抽逐步修訂。前三篇各暴露落差，第四篇無新落差，視為收斂。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6 個落差皆留有決策紀錄。其中三項直接影響安全性：將「不建議」與「絕對禁忌」分為兩種關係，避免抽取時把語氣升級；將黑框警語級的嚴重病況與一般副作用分開；加入藥物類別階層關係，避免類別層級的安全警訊在查詢單一成分時漏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產出 37 條 Bronze 三元組，全數通過型別驗證。經一輪自我審查修正 6 項問題，包含實體識別碼衝突、段落被誤抽成節點、去重時的來源保留、以及高風險事實的檢索閘門。</w:t>
      </w:r>
    </w:p>
    <w:p>
      <w:pPr>
        <w:pStyle w:val="Heading2"/>
        <w:spacing w:after="120" w:before="240"/>
      </w:pPr>
      <w:r>
        <w:rPr>
          <w:rFonts w:ascii="Noto Sans CJK TC" w:cs="Noto Sans CJK TC" w:eastAsia="Noto Sans CJK TC" w:hAnsi="Noto Sans CJK TC"/>
          <w:b/>
          <w:bCs/>
          <w:color w:val="2E5A7D"/>
          <w:sz w:val="23"/>
          <w:szCs w:val="23"/>
        </w:rPr>
        <w:t xml:space="preserve">3.3 Vector 管道（向量檢索）</w:t>
      </w:r>
    </w:p>
    <w:p>
      <w:pPr>
        <w:spacing w:after="120" w:before="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比較固定長度切分與語意單位切分兩種策略，定案採用後者。醫療文件中警語常與主張分屬不同段落，固定長度切分會把不同強度的警語切進同一個區塊。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依文件既有欄位標籤切分，長欄位再依編號子點細切，每個子點維持完整不跨切。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針對「醫療人員應注意事項」與「病人應注意事項」等類別標題，切分時將類別名稱補回每個子點開頭，確保單獨檢索到某一則時仍看得出對象是誰。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5 篇文件試切：固定長度 27 個 chunk、語意切分 85 個 chunk。85 個全數完成向量化（3072 維）。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兩條管道使用同一套來源編號與對稱的資料模型，試抽與試切結果可直接比對同一份原文。</w:t>
      </w:r>
    </w:p>
    <w:p>
      <w:pPr>
        <w:pStyle w:val="Heading2"/>
        <w:spacing w:after="120" w:before="240"/>
      </w:pPr>
      <w:r>
        <w:rPr>
          <w:rFonts w:ascii="Noto Sans CJK TC" w:cs="Noto Sans CJK TC" w:eastAsia="Noto Sans CJK TC" w:hAnsi="Noto Sans CJK TC"/>
          <w:b/>
          <w:bCs/>
          <w:color w:val="2E5A7D"/>
          <w:sz w:val="23"/>
          <w:szCs w:val="23"/>
        </w:rPr>
        <w:t xml:space="preserve">3.4 邊界與限制機制</w:t>
      </w:r>
    </w:p>
    <w:p>
      <w:pPr>
        <w:spacing w:after="120" w:before="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依「邊界＝可觸及什麼、限制＝實際回傳什麼」區分兩層，並刻意與 LLM 組的 Contract Gate / Context Gate 錯開，避免重複設計。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層次</w:t>
            </w:r>
          </w:p>
        </w:tc>
        <w:tc>
          <w:tcPr>
            <w:tcW w:type="dxa" w:w="69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設計階段邊界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來源範圍、知識領域範圍、schema 限制、關係語意強度區分、最大遍歷深度、資料時效與狀態，共 6 項，每項附設計理由與改動代價。</w:t>
            </w:r>
          </w:p>
        </w:tc>
      </w:tr>
      <w:tr>
        <w:tc>
          <w:tcPr>
            <w:tcW w:type="dxa" w:w="24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執行階段限制</w:t>
            </w:r>
          </w:p>
        </w:tc>
        <w:tc>
          <w:tcPr>
            <w:tcW w:type="dxa" w:w="69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依分數類型分流的信心門檻、圖譜跳數預算、關係型別與節點型別的允許清單。屬規則型判斷，不涉及語意理解。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失敗模式與測試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項 garbage-in 失敗模式（實體抽錯、關係方向錯置、同源不一致、幻覺實體、信心未分級、欄位缺漏），以及可回答／部分回答／無資料／資料衝突／過期／注入六類測試案例。</w:t>
            </w:r>
          </w:p>
        </w:tc>
      </w:tr>
    </w:tbl>
    <w:p>
      <w:pPr>
        <w:pStyle w:val="Heading1"/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1F3B57"/>
          <w:sz w:val="28"/>
          <w:szCs w:val="28"/>
        </w:rPr>
        <w:t xml:space="preserve">四、需裁示事項（一）：共用範例查詢的定位</w:t>
      </w:r>
    </w:p>
    <w:p>
      <w:pPr>
        <w:spacing w:after="120" w:before="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Kickoff 第 3.2 節定案，全組所有文件、圖表與範例統一使用「我有腎功能不好，可以吃 metformin 嗎？」。七份 M1 文件均已照做。</w:t>
      </w:r>
    </w:p>
    <w:p>
      <w:pPr>
        <w:spacing w:after="120" w:before="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但 LLM 組最新的分工文件明確：只有經 Policy Gate 判定為一般衛教的問題才會呼叫 RAG，而這句話被歸類為個人化用藥問題，應由系統建議諮詢醫師或藥師，不進入檢索流程。</w:t>
      </w:r>
    </w:p>
    <w:p>
      <w:pPr>
        <w:spacing w:after="1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0E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20"/>
                <w:szCs w:val="20"/>
              </w:rPr>
              <w:t xml:space="preserve">問題</w:t>
            </w:r>
          </w:p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本組整份提案的示範查詢，在最終系統中不會到達本組負責的模組。</w:t>
            </w:r>
          </w:p>
        </w:tc>
      </w:tr>
    </w:tbl>
    <w:p>
      <w:pPr>
        <w:spacing w:after="1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本組建議不重寫範例，而是分層呈現——這對提案反而是加分，因為它示範了兩層安全設計確實有效：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查詢</w:t>
            </w:r>
          </w:p>
        </w:tc>
        <w:tc>
          <w:tcPr>
            <w:tcW w:type="dxa" w:w="33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示範什麼</w:t>
            </w:r>
          </w:p>
        </w:tc>
        <w:tc>
          <w:tcPr>
            <w:tcW w:type="dxa" w:w="34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對應模組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「我有腎功能不好，可以吃 metformin 嗎？」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安全攔截：個人化用藥不由系統代為決定，轉介專業人員。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LLM 組 Policy Gate</w:t>
            </w:r>
          </w:p>
        </w:tc>
      </w:tr>
      <w:tr>
        <w:tc>
          <w:tcPr>
            <w:tcW w:type="dxa" w:w="26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「腎功能不佳者使用 metformin 時，有哪些一般注意事項？」</w:t>
            </w:r>
          </w:p>
        </w:tc>
        <w:tc>
          <w:tcPr>
            <w:tcW w:type="dxa" w:w="33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正常檢索路徑：找到一般注意事項並標示來源與國別。</w:t>
            </w:r>
          </w:p>
        </w:tc>
        <w:tc>
          <w:tcPr>
            <w:tcW w:type="dxa" w:w="34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本組 Vector + Graph Retriever</w:t>
            </w:r>
          </w:p>
        </w:tc>
      </w:tr>
    </w:tbl>
    <w:p>
      <w:pPr>
        <w:spacing w:after="1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值得一提的是，第二句正好落在本組 schema 中「注意／需調整劑量」這一層，而非「絕對禁忌」。設計 schema 時之所以把兩者分為獨立的關係型別，正是為了避免把仿單原文的「不建議」在抽取階段升級成「絕對禁止」。若當初合併為單一禁忌關係，第二句將無法被正確回答。這是一個在跨組對齊後才得到驗證的設計決策。</w:t>
      </w:r>
    </w:p>
    <w:p>
      <w:pPr>
        <w:spacing w:after="1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Noto Sans CJK TC" w:cs="Noto Sans CJK TC" w:eastAsia="Noto Sans CJK TC" w:hAnsi="Noto Sans CJK TC"/>
          <w:b/>
          <w:bCs/>
          <w:i w:val="false"/>
          <w:iCs w:val="false"/>
          <w:sz w:val="20"/>
          <w:szCs w:val="20"/>
        </w:rPr>
        <w:t xml:space="preserve">需要裁示：</w:t>
      </w: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是否採用上述分層方式。若採用，本組將於 M2 全面更新範例段落；此事需在 M2 撰寫開始前定案，否則將產出整份使用錯誤範例的提案。</w:t>
      </w:r>
    </w:p>
    <w:p>
      <w:pPr>
        <w:pStyle w:val="Heading1"/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1F3B57"/>
          <w:sz w:val="28"/>
          <w:szCs w:val="28"/>
        </w:rPr>
        <w:t xml:space="preserve">五、跨組介面現況</w:t>
      </w:r>
    </w:p>
    <w:p>
      <w:pPr>
        <w:pStyle w:val="Heading2"/>
        <w:spacing w:after="120" w:before="240"/>
      </w:pPr>
      <w:r>
        <w:rPr>
          <w:rFonts w:ascii="Noto Sans CJK TC" w:cs="Noto Sans CJK TC" w:eastAsia="Noto Sans CJK TC" w:hAnsi="Noto Sans CJK TC"/>
          <w:b/>
          <w:bCs/>
          <w:color w:val="2E5A7D"/>
          <w:sz w:val="23"/>
          <w:szCs w:val="23"/>
        </w:rPr>
        <w:t xml:space="preserve">5.1 已定案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Retrieved Chunk 欄位契約已定案並通過 JSON Schema 驗證，以旗艦查詢的實際三元組實測無誤。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高風險事實的處置分工已釐清：本組負責正確標記禁忌、警告與嚴重副作用並附來源；判斷是否可用、如何回答、最終安全檢查依序由 LLM 組的 Context Gate、Generator、Output Gate 負責。此項在 M1 期間一度是責任真空，現已有明確歸屬。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圖譜檢索因跳數用盡而提前終止時，回傳部分路徑並標記狀態，交由下游判斷，而非直接視為查無資料。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圖譜檢索分數不沿用文獻既有閾值，需建立本專案自己的校準資料。</w:t>
      </w:r>
    </w:p>
    <w:p>
      <w:pPr>
        <w:pStyle w:val="Heading2"/>
        <w:spacing w:after="120" w:before="240"/>
      </w:pPr>
      <w:r>
        <w:rPr>
          <w:rFonts w:ascii="Noto Sans CJK TC" w:cs="Noto Sans CJK TC" w:eastAsia="Noto Sans CJK TC" w:hAnsi="Noto Sans CJK TC"/>
          <w:b/>
          <w:bCs/>
          <w:color w:val="2E5A7D"/>
          <w:sz w:val="23"/>
          <w:szCs w:val="23"/>
        </w:rPr>
        <w:t xml:space="preserve">5.2 M2 開始前需補齊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項目</w:t>
            </w:r>
          </w:p>
        </w:tc>
        <w:tc>
          <w:tcPr>
            <w:tcW w:type="dxa" w:w="67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合併策略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Vector 與 Graph 同時回傳時的排序依據、去重規則、截斷位置與數量上限。此項亦卡住 Boundary 團隊的截斷設計。</w:t>
            </w:r>
          </w:p>
        </w:tc>
      </w:tr>
      <w:tr>
        <w:tc>
          <w:tcPr>
            <w:tcW w:type="dxa" w:w="26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外層回應封套</w:t>
            </w:r>
          </w:p>
        </w:tc>
        <w:tc>
          <w:tcPr>
            <w:tcW w:type="dxa" w:w="67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現行契約只定義單一 Chunk 的形狀，缺少「一次檢索回傳什麼」的外層結構，導致 LLM 組要求的搜尋狀態、請求對應、警告訊息無處放置。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資料風險等級欄位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LLM 組要求本組回傳證據的風險等級，而非讓其自行從文字推測。本組 schema 的每一種關係本就帶有安全等級，可直接推導；需納入契約。</w:t>
            </w:r>
          </w:p>
        </w:tc>
      </w:tr>
      <w:tr>
        <w:tc>
          <w:tcPr>
            <w:tcW w:type="dxa" w:w="26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時效與狀態欄位</w:t>
            </w:r>
          </w:p>
        </w:tc>
        <w:tc>
          <w:tcPr>
            <w:tcW w:type="dxa" w:w="67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資料版本與狀態目前只存在於 Chunk 層，圖譜三元組本身沒有帶。需決定放在哪一層。</w:t>
            </w:r>
          </w:p>
        </w:tc>
      </w:tr>
    </w:tbl>
    <w:p>
      <w:pPr>
        <w:pStyle w:val="Heading1"/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1F3B57"/>
          <w:sz w:val="28"/>
          <w:szCs w:val="28"/>
        </w:rPr>
        <w:t xml:space="preserve">六、已知限制</w:t>
      </w:r>
    </w:p>
    <w:p>
      <w:pPr>
        <w:spacing w:after="120" w:before="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以下為 M1 階段確實存在、且不宜在提案中隱藏的限制。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限制</w:t>
            </w:r>
          </w:p>
        </w:tc>
        <w:tc>
          <w:tcPr>
            <w:tcW w:type="dxa" w:w="34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影響</w:t>
            </w:r>
          </w:p>
        </w:tc>
        <w:tc>
          <w:tcPr>
            <w:tcW w:type="dxa" w:w="32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處理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旗艦查詢缺乏本地權威來源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本地 129 筆藥品安全資訊不含 metformin，目前唯一來源為美國 FDA 的複方仿單，且因安全閘門機制暫被排除於可檢索集之外。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需取得本地單方藥品資料（第七節）。替代方案：改以資料完整的另一藥物類別作為展示案例。</w:t>
            </w:r>
          </w:p>
        </w:tc>
      </w:tr>
      <w:tr>
        <w:tc>
          <w:tcPr>
            <w:tcW w:type="dxa" w:w="27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醫學詞彙尚未接地</w:t>
            </w:r>
          </w:p>
        </w:tc>
        <w:tc>
          <w:tcPr>
            <w:tcW w:type="dxa" w:w="34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實體目前僅少數接上國際標準詞彙代碼，其餘待帳號開通。影響同名實體的合併與跨來源比對。</w:t>
            </w:r>
          </w:p>
        </w:tc>
        <w:tc>
          <w:tcPr>
            <w:tcW w:type="dxa" w:w="32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 UMLS 帳號（第七節）。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風險等級未經臨床審核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風險等級係依仿單與公告的用語強度推導，非臨床專業人員審核結果。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 PM 協助（第七節）。</w:t>
            </w:r>
          </w:p>
        </w:tc>
      </w:tr>
      <w:tr>
        <w:tc>
          <w:tcPr>
            <w:tcW w:type="dxa" w:w="27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尚未全量處理</w:t>
            </w:r>
          </w:p>
        </w:tc>
        <w:tc>
          <w:tcPr>
            <w:tcW w:type="dxa" w:w="34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目前為小規模試做（Graph 4 篇試抽 + 規則式對映、Vector 5 篇試切），非全量 129 筆。</w:t>
            </w:r>
          </w:p>
        </w:tc>
        <w:tc>
          <w:tcPr>
            <w:tcW w:type="dxa" w:w="32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符合 Kickoff 對 M1 的要求；M2 後擴大。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檢索內容的注入檢查未實作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來源白名單已建立，但找回的內容尚未再做一次間接注入檢查。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現行來源限於官方資料，風險受控；來源放寬前須補。</w:t>
            </w:r>
          </w:p>
        </w:tc>
      </w:tr>
    </w:tbl>
    <w:p>
      <w:pPr>
        <w:pStyle w:val="Heading1"/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1F3B57"/>
          <w:sz w:val="28"/>
          <w:szCs w:val="28"/>
        </w:rPr>
        <w:t xml:space="preserve">七、需要 PM 支援的事項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事項</w:t>
            </w:r>
          </w:p>
        </w:tc>
        <w:tc>
          <w:tcPr>
            <w:tcW w:type="dxa" w:w="61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說明與影響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臨床專業人員審核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風險等級對映與高風險事實的正確性目前無人可審。這是醫療衛教應用最實質的風險，也是 LLM 組明確要求的前提條件。建議安排一次臨床人員審閱，範圍可先限於高風險關係。</w:t>
            </w:r>
          </w:p>
        </w:tc>
      </w:tr>
      <w:tr>
        <w:tc>
          <w:tcPr>
            <w:tcW w:type="dxa" w:w="6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UMLS UTS 帳號</w:t>
            </w:r>
          </w:p>
        </w:tc>
        <w:tc>
          <w:tcPr>
            <w:tcW w:type="dxa" w:w="61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醫學詞彙接地卡在帳號取得。缺少代碼會使同名實體無法合併，也讓邊界機制中「實體須對齊標準詞彙」這項控制無法執行。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本地權威資料來源管道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本地 129 筆資料不含 metformin。需要衛福部食藥署或中華民國糖尿病學會的用藥指引取得管道，否則提案的核心展示案例只能引用美國資料。</w:t>
            </w:r>
          </w:p>
        </w:tc>
      </w:tr>
    </w:tbl>
    <w:p>
      <w:pPr>
        <w:pStyle w:val="Heading1"/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1F3B57"/>
          <w:sz w:val="28"/>
          <w:szCs w:val="28"/>
        </w:rPr>
        <w:t xml:space="preserve">八、Milestone 2 提案骨架與時程</w:t>
      </w:r>
    </w:p>
    <w:p>
      <w:pPr>
        <w:pStyle w:val="Heading2"/>
        <w:spacing w:after="120" w:before="240"/>
      </w:pPr>
      <w:r>
        <w:rPr>
          <w:rFonts w:ascii="Noto Sans CJK TC" w:cs="Noto Sans CJK TC" w:eastAsia="Noto Sans CJK TC" w:hAnsi="Noto Sans CJK TC"/>
          <w:b/>
          <w:bCs/>
          <w:color w:val="2E5A7D"/>
          <w:sz w:val="23"/>
          <w:szCs w:val="23"/>
        </w:rPr>
        <w:t xml:space="preserve">8.1 M2 提案文件章節規劃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760"/>
      </w:tblGrid>
      <w:tr>
        <w:trPr>
          <w:tblHeader/>
        </w:trPr>
        <w:tc>
          <w:tcPr>
            <w:tcW w:type="dxa" w:w="7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章</w:t>
            </w:r>
          </w:p>
        </w:tc>
        <w:tc>
          <w:tcPr>
            <w:tcW w:type="dxa" w:w="29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章節</w:t>
            </w:r>
          </w:p>
        </w:tc>
        <w:tc>
          <w:tcPr>
            <w:tcW w:type="dxa" w:w="57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內容來源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專案定位與整體架構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本報告第二節擴寫，加入完整架構圖</w:t>
            </w:r>
          </w:p>
        </w:tc>
      </w:tr>
      <w:tr>
        <w:tc>
          <w:tcPr>
            <w:tcW w:type="dxa" w:w="7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查詢類型與路由策略</w:t>
            </w:r>
          </w:p>
        </w:tc>
        <w:tc>
          <w:tcPr>
            <w:tcW w:type="dxa" w:w="57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Multi-RAG A 的 10 類分類表 + Multi-RAG B 的路由與合併策略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資料前處理：Vector 管道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Preprocessing A 的流程圖、切分策略決策紀錄、試切與向量化結果</w:t>
            </w:r>
          </w:p>
        </w:tc>
      </w:tr>
      <w:tr>
        <w:tc>
          <w:tcPr>
            <w:tcW w:type="dxa" w:w="7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資料前處理：Graph 管道</w:t>
            </w:r>
          </w:p>
        </w:tc>
        <w:tc>
          <w:tcPr>
            <w:tcW w:type="dxa" w:w="57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Preprocessing B 的 schema v3、抽取工作流、6 項落差決策紀錄、Bronze 資料集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邊界與限制機制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Boundary A 的設計階段邊界 + Boundary B 的執行階段限制</w:t>
            </w:r>
          </w:p>
        </w:tc>
      </w:tr>
      <w:tr>
        <w:tc>
          <w:tcPr>
            <w:tcW w:type="dxa" w:w="7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失敗模式與測試計畫</w:t>
            </w:r>
          </w:p>
        </w:tc>
        <w:tc>
          <w:tcPr>
            <w:tcW w:type="dxa" w:w="57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Boundary C 的失敗模式表與六類測試案例，加上圖譜檢索的六類校準設計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跨組介面契約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完整 Retrieved Chunk 契約 + 外層封套 + 與 LLM 組的分工表</w:t>
            </w:r>
          </w:p>
        </w:tc>
      </w:tr>
      <w:tr>
        <w:tc>
          <w:tcPr>
            <w:tcW w:type="dxa" w:w="7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限制與後續工作</w:t>
            </w:r>
          </w:p>
        </w:tc>
        <w:tc>
          <w:tcPr>
            <w:tcW w:type="dxa" w:w="57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本報告第六節擴寫</w:t>
            </w:r>
          </w:p>
        </w:tc>
      </w:tr>
    </w:tbl>
    <w:p>
      <w:pPr>
        <w:pStyle w:val="Heading2"/>
        <w:spacing w:after="120" w:before="240"/>
      </w:pPr>
      <w:r>
        <w:rPr>
          <w:rFonts w:ascii="Noto Sans CJK TC" w:cs="Noto Sans CJK TC" w:eastAsia="Noto Sans CJK TC" w:hAnsi="Noto Sans CJK TC"/>
          <w:b/>
          <w:bCs/>
          <w:color w:val="2E5A7D"/>
          <w:sz w:val="23"/>
          <w:szCs w:val="23"/>
        </w:rPr>
        <w:t xml:space="preserve">8.2 時程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60"/>
      </w:tblGrid>
      <w:tr>
        <w:trPr>
          <w:tblHeader/>
        </w:trPr>
        <w:tc>
          <w:tcPr>
            <w:tcW w:type="dxa" w:w="15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  <w:tc>
          <w:tcPr>
            <w:tcW w:type="dxa" w:w="52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工作</w:t>
            </w:r>
          </w:p>
        </w:tc>
        <w:tc>
          <w:tcPr>
            <w:tcW w:type="dxa" w:w="26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i w:val="false"/>
                <w:iCs w:val="false"/>
                <w:sz w:val="18"/>
                <w:szCs w:val="18"/>
              </w:rPr>
              <w:t xml:space="preserve">負責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8/24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 內部會議：定案共用範例查詢的處理方式、關閉已獲回覆的待確認事項、指派兩項補件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全體</w:t>
            </w:r>
          </w:p>
        </w:tc>
      </w:tr>
      <w:tr>
        <w:tc>
          <w:tcPr>
            <w:tcW w:type="dxa" w:w="15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8/25</w:t>
            </w:r>
          </w:p>
        </w:tc>
        <w:tc>
          <w:tcPr>
            <w:tcW w:type="dxa" w:w="52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補齊合併策略與 Vector 決策紀錄；契約加上外層封套與風險等級欄位</w:t>
            </w:r>
          </w:p>
        </w:tc>
        <w:tc>
          <w:tcPr>
            <w:tcW w:type="dxa" w:w="26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Multi-RAG B、Preprocessing 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8/26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PM 會議（本文件）；同日回覆 LLM 組九項確認事項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全體</w:t>
            </w:r>
          </w:p>
        </w:tc>
      </w:tr>
      <w:tr>
        <w:tc>
          <w:tcPr>
            <w:tcW w:type="dxa" w:w="15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8/27–8/28</w:t>
            </w:r>
          </w:p>
        </w:tc>
        <w:tc>
          <w:tcPr>
            <w:tcW w:type="dxa" w:w="520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各團隊撰寫 M2 章節並統一整合</w:t>
            </w:r>
          </w:p>
        </w:tc>
        <w:tc>
          <w:tcPr>
            <w:tcW w:type="dxa" w:w="2660"/>
            <w:shd w:fill="F5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全體</w:t>
            </w:r>
          </w:p>
        </w:tc>
      </w:tr>
    </w:tbl>
    <w:p>
      <w:pPr>
        <w:pStyle w:val="Heading2"/>
        <w:spacing w:after="120" w:before="240"/>
      </w:pPr>
      <w:r>
        <w:rPr>
          <w:rFonts w:ascii="Noto Sans CJK TC" w:cs="Noto Sans CJK TC" w:eastAsia="Noto Sans CJK TC" w:hAnsi="Noto Sans CJK TC"/>
          <w:b/>
          <w:bCs/>
          <w:color w:val="2E5A7D"/>
          <w:sz w:val="23"/>
          <w:szCs w:val="23"/>
        </w:rPr>
        <w:t xml:space="preserve">8.3 M2 之後的工作（不列入 M2 交付）</w:t>
      </w:r>
    </w:p>
    <w:p>
      <w:pPr>
        <w:spacing w:after="120" w:before="0" w:line="3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>以下項目工作量或前置條件超出 M2 時程，將在提案中明確標示為後續工作，不以推論填補：醫學詞彙接地與同名實體合併、圖譜檢索分數的六類校準資料集、129 筆資料的全量抽取、檢索內容的間接注入檢查、數值門檻的結構化、以及風險等級的臨床審核。</w:t>
      </w:r>
    </w:p>
    <w:p>
      <w:pPr>
        <w:spacing w:after="100"/>
      </w:pPr>
      <w:r>
        <w:rPr>
          <w:rFonts w:ascii="Noto Sans CJK TC" w:cs="Noto Sans CJK TC" w:eastAsia="Noto Sans CJK TC" w:hAnsi="Noto Sans CJK T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top w:val="single" w:color="C3D2DE" w:sz="6" w:space="8"/>
        </w:pBdr>
        <w:spacing w:before="300" w:line="280"/>
      </w:pPr>
      <w:r>
        <w:rPr>
          <w:rFonts w:ascii="Noto Sans CJK TC" w:cs="Noto Sans CJK TC" w:eastAsia="Noto Sans CJK TC" w:hAnsi="Noto Sans CJK TC"/>
          <w:b w:val="false"/>
          <w:bCs w:val="false"/>
          <w:i/>
          <w:iCs/>
          <w:color w:val="667788"/>
          <w:sz w:val="17"/>
          <w:szCs w:val="17"/>
        </w:rPr>
        <w:t xml:space="preserve">本報告為 M1 成果報告與 M2 提案骨架，涵蓋至 2026/08/24 的產出。技術細節以各團隊文件與校對版為準；組內完整版見《RAG 組 — M1 工作報告與計畫修訂》。</w:t>
      </w:r>
    </w:p>
    <w:sectPr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◦"/>
      <w:lvlJc w:val="left"/>
      <w:pPr>
        <w:ind w:left="7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2026-08-24T05:12:22.971Z</dcterms:created>
  <dcterms:modified xsi:type="dcterms:W3CDTF">2026-08-24T05:12:22.972Z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