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jc w:val="center"/>
      </w:pPr>
      <w:r>
        <w:rPr>
          <w:rFonts w:ascii="Calibri" w:cs="Calibri" w:eastAsia="Calibri" w:hAnsi="Calibri"/>
          <w:b/>
          <w:bCs/>
          <w:sz w:val="32"/>
          <w:szCs w:val="32"/>
        </w:rPr>
        <w:t xml:space="preserve">PROJECT PROPOSAL</w:t>
      </w:r>
    </w:p>
    <w:p>
      <w:pPr>
        <w:spacing w:after="120"/>
        <w:jc w:val="center"/>
      </w:pPr>
      <w:r>
        <w:rPr>
          <w:rFonts w:ascii="Calibri" w:cs="Calibri" w:eastAsia="Calibri" w:hAnsi="Calibri"/>
          <w:b/>
          <w:bCs/>
          <w:color w:val="1F1F1D"/>
          <w:sz w:val="56"/>
          <w:szCs w:val="56"/>
        </w:rPr>
        <w:t xml:space="preserve">llmctl</w:t>
      </w:r>
    </w:p>
    <w:p>
      <w:pPr>
        <w:spacing w:after="800"/>
        <w:jc w:val="center"/>
      </w:pPr>
      <w:r>
        <w:rPr>
          <w:rFonts w:ascii="Calibri" w:cs="Calibri" w:eastAsia="Calibri" w:hAnsi="Calibri"/>
          <w:i/>
          <w:iCs/>
          <w:sz w:val="26"/>
          <w:szCs w:val="26"/>
        </w:rPr>
        <w:t xml:space="preserve">A Unified Terminal Dashboard for Multi-Provider LLM Development on Windows/WSL</w:t>
      </w:r>
    </w:p>
    <w:p>
      <w:pPr>
        <w:spacing w:after="80"/>
        <w:jc w:val="center"/>
      </w:pPr>
      <w:r>
        <w:rPr>
          <w:rFonts w:ascii="Calibri" w:cs="Calibri" w:eastAsia="Calibri" w:hAnsi="Calibri"/>
          <w:sz w:val="22"/>
          <w:szCs w:val="22"/>
        </w:rPr>
        <w:t xml:space="preserve">Submitted for approval as a B.Tech CSE Capstone Project</w:t>
      </w:r>
    </w:p>
    <w:p>
      <w:pPr>
        <w:spacing w:after="600"/>
        <w:jc w:val="center"/>
      </w:pPr>
      <w:r>
        <w:rPr>
          <w:rFonts w:ascii="Calibri" w:cs="Calibri" w:eastAsia="Calibri" w:hAnsi="Calibri"/>
          <w:sz w:val="22"/>
          <w:szCs w:val="22"/>
        </w:rPr>
        <w:t xml:space="preserve">VIT Bhopal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C2C2A" w:color="auto" w:val="clear"/>
            <w:tcMar>
              <w:top w:type="dxa" w:w="100"/>
              <w:left w:type="dxa" w:w="120"/>
              <w:bottom w:type="dxa" w:w="100"/>
              <w:right w:type="dxa" w:w="120"/>
            </w:tcMar>
          </w:tcPr>
          <w:p>
            <w:r>
              <w:rPr>
                <w:rFonts w:ascii="Calibri" w:cs="Calibri" w:eastAsia="Calibri" w:hAnsi="Calibri"/>
                <w:b/>
                <w:bCs/>
                <w:color w:val="FFFFFF"/>
                <w:sz w:val="20"/>
                <w:szCs w:val="20"/>
              </w:rPr>
              <w:t xml:space="preserve">Team Member</w:t>
            </w:r>
          </w:p>
        </w:tc>
        <w:tc>
          <w:tcPr>
            <w:tcW w:type="dxa" w:w="3120"/>
            <w:shd w:fill="2C2C2A" w:color="auto" w:val="clear"/>
            <w:tcMar>
              <w:top w:type="dxa" w:w="100"/>
              <w:left w:type="dxa" w:w="120"/>
              <w:bottom w:type="dxa" w:w="100"/>
              <w:right w:type="dxa" w:w="120"/>
            </w:tcMar>
          </w:tcPr>
          <w:p>
            <w:r>
              <w:rPr>
                <w:rFonts w:ascii="Calibri" w:cs="Calibri" w:eastAsia="Calibri" w:hAnsi="Calibri"/>
                <w:b/>
                <w:bCs/>
                <w:color w:val="FFFFFF"/>
                <w:sz w:val="20"/>
                <w:szCs w:val="20"/>
              </w:rPr>
              <w:t xml:space="preserve">Registration No.</w:t>
            </w:r>
          </w:p>
        </w:tc>
        <w:tc>
          <w:tcPr>
            <w:tcW w:type="dxa" w:w="3120"/>
            <w:shd w:fill="2C2C2A" w:color="auto"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r>
      <w:tr>
        <w:tc>
          <w:tcPr>
            <w:tcW w:type="dxa" w:w="3120"/>
            <w:tcMar>
              <w:top w:type="dxa" w:w="100"/>
              <w:left w:type="dxa" w:w="120"/>
              <w:bottom w:type="dxa" w:w="100"/>
              <w:right w:type="dxa" w:w="120"/>
            </w:tcMar>
          </w:tcPr>
          <w:p>
            <w:r>
              <w:rPr>
                <w:rFonts w:ascii="Calibri" w:cs="Calibri" w:eastAsia="Calibri" w:hAnsi="Calibri"/>
                <w:sz w:val="20"/>
                <w:szCs w:val="20"/>
              </w:rPr>
              <w:t xml:space="preserve">Ayush Kushwah</w:t>
            </w:r>
          </w:p>
        </w:tc>
        <w:tc>
          <w:tcPr>
            <w:tcW w:type="dxa" w:w="3120"/>
            <w:tcMar>
              <w:top w:type="dxa" w:w="100"/>
              <w:left w:type="dxa" w:w="120"/>
              <w:bottom w:type="dxa" w:w="100"/>
              <w:right w:type="dxa" w:w="120"/>
            </w:tcMar>
          </w:tcPr>
          <w:p>
            <w:r>
              <w:rPr>
                <w:rFonts w:ascii="Calibri" w:cs="Calibri" w:eastAsia="Calibri" w:hAnsi="Calibri"/>
                <w:sz w:val="20"/>
                <w:szCs w:val="20"/>
              </w:rPr>
              <w:t xml:space="preserve">23BCE11135</w:t>
            </w:r>
          </w:p>
        </w:tc>
        <w:tc>
          <w:tcPr>
            <w:tcW w:type="dxa" w:w="3120"/>
            <w:tcMar>
              <w:top w:type="dxa" w:w="100"/>
              <w:left w:type="dxa" w:w="120"/>
              <w:bottom w:type="dxa" w:w="100"/>
              <w:right w:type="dxa" w:w="120"/>
            </w:tcMar>
          </w:tcPr>
          <w:p>
            <w:r>
              <w:rPr>
                <w:rFonts w:ascii="Calibri" w:cs="Calibri" w:eastAsia="Calibri" w:hAnsi="Calibri"/>
                <w:sz w:val="20"/>
                <w:szCs w:val="20"/>
              </w:rPr>
              <w:t xml:space="preserve">Project Lead / Storage &amp; Config</w:t>
            </w:r>
          </w:p>
        </w:tc>
      </w:tr>
      <w:tr>
        <w:tc>
          <w:tcPr>
            <w:tcW w:type="dxa" w:w="3120"/>
            <w:tcMar>
              <w:top w:type="dxa" w:w="100"/>
              <w:left w:type="dxa" w:w="120"/>
              <w:bottom w:type="dxa" w:w="100"/>
              <w:right w:type="dxa" w:w="120"/>
            </w:tcMar>
          </w:tcPr>
          <w:p>
            <w:r>
              <w:rPr>
                <w:rFonts w:ascii="Calibri" w:cs="Calibri" w:eastAsia="Calibri" w:hAnsi="Calibri"/>
                <w:sz w:val="20"/>
                <w:szCs w:val="20"/>
              </w:rPr>
              <w:t xml:space="preserve">[Team Member 2]</w:t>
            </w:r>
          </w:p>
        </w:tc>
        <w:tc>
          <w:tcPr>
            <w:tcW w:type="dxa" w:w="3120"/>
            <w:tcMar>
              <w:top w:type="dxa" w:w="100"/>
              <w:left w:type="dxa" w:w="120"/>
              <w:bottom w:type="dxa" w:w="100"/>
              <w:right w:type="dxa" w:w="120"/>
            </w:tcMar>
          </w:tcPr>
          <w:p>
            <w:r>
              <w:rPr>
                <w:rFonts w:ascii="Calibri" w:cs="Calibri" w:eastAsia="Calibri" w:hAnsi="Calibri"/>
                <w:sz w:val="20"/>
                <w:szCs w:val="20"/>
              </w:rPr>
              <w:t xml:space="preserve">[Reg. No.]</w:t>
            </w:r>
          </w:p>
        </w:tc>
        <w:tc>
          <w:tcPr>
            <w:tcW w:type="dxa" w:w="3120"/>
            <w:tcMar>
              <w:top w:type="dxa" w:w="100"/>
              <w:left w:type="dxa" w:w="120"/>
              <w:bottom w:type="dxa" w:w="100"/>
              <w:right w:type="dxa" w:w="120"/>
            </w:tcMar>
          </w:tcPr>
          <w:p>
            <w:r>
              <w:rPr>
                <w:rFonts w:ascii="Calibri" w:cs="Calibri" w:eastAsia="Calibri" w:hAnsi="Calibri"/>
                <w:sz w:val="20"/>
                <w:szCs w:val="20"/>
              </w:rPr>
              <w:t xml:space="preserve">Provider Adapters</w:t>
            </w:r>
          </w:p>
        </w:tc>
      </w:tr>
      <w:tr>
        <w:tc>
          <w:tcPr>
            <w:tcW w:type="dxa" w:w="3120"/>
            <w:tcMar>
              <w:top w:type="dxa" w:w="100"/>
              <w:left w:type="dxa" w:w="120"/>
              <w:bottom w:type="dxa" w:w="100"/>
              <w:right w:type="dxa" w:w="120"/>
            </w:tcMar>
          </w:tcPr>
          <w:p>
            <w:r>
              <w:rPr>
                <w:rFonts w:ascii="Calibri" w:cs="Calibri" w:eastAsia="Calibri" w:hAnsi="Calibri"/>
                <w:sz w:val="20"/>
                <w:szCs w:val="20"/>
              </w:rPr>
              <w:t xml:space="preserve">[Team Member 3]</w:t>
            </w:r>
          </w:p>
        </w:tc>
        <w:tc>
          <w:tcPr>
            <w:tcW w:type="dxa" w:w="3120"/>
            <w:tcMar>
              <w:top w:type="dxa" w:w="100"/>
              <w:left w:type="dxa" w:w="120"/>
              <w:bottom w:type="dxa" w:w="100"/>
              <w:right w:type="dxa" w:w="120"/>
            </w:tcMar>
          </w:tcPr>
          <w:p>
            <w:r>
              <w:rPr>
                <w:rFonts w:ascii="Calibri" w:cs="Calibri" w:eastAsia="Calibri" w:hAnsi="Calibri"/>
                <w:sz w:val="20"/>
                <w:szCs w:val="20"/>
              </w:rPr>
              <w:t xml:space="preserve">[Reg. No.]</w:t>
            </w:r>
          </w:p>
        </w:tc>
        <w:tc>
          <w:tcPr>
            <w:tcW w:type="dxa" w:w="3120"/>
            <w:tcMar>
              <w:top w:type="dxa" w:w="100"/>
              <w:left w:type="dxa" w:w="120"/>
              <w:bottom w:type="dxa" w:w="100"/>
              <w:right w:type="dxa" w:w="120"/>
            </w:tcMar>
          </w:tcPr>
          <w:p>
            <w:r>
              <w:rPr>
                <w:rFonts w:ascii="Calibri" w:cs="Calibri" w:eastAsia="Calibri" w:hAnsi="Calibri"/>
                <w:sz w:val="20"/>
                <w:szCs w:val="20"/>
              </w:rPr>
              <w:t xml:space="preserve">TUI / UI Layer</w:t>
            </w:r>
          </w:p>
        </w:tc>
      </w:tr>
      <w:tr>
        <w:tc>
          <w:tcPr>
            <w:tcW w:type="dxa" w:w="3120"/>
            <w:tcMar>
              <w:top w:type="dxa" w:w="100"/>
              <w:left w:type="dxa" w:w="120"/>
              <w:bottom w:type="dxa" w:w="100"/>
              <w:right w:type="dxa" w:w="120"/>
            </w:tcMar>
          </w:tcPr>
          <w:p>
            <w:r>
              <w:rPr>
                <w:rFonts w:ascii="Calibri" w:cs="Calibri" w:eastAsia="Calibri" w:hAnsi="Calibri"/>
                <w:sz w:val="20"/>
                <w:szCs w:val="20"/>
              </w:rPr>
              <w:t xml:space="preserve">[Team Member 4]</w:t>
            </w:r>
          </w:p>
        </w:tc>
        <w:tc>
          <w:tcPr>
            <w:tcW w:type="dxa" w:w="3120"/>
            <w:tcMar>
              <w:top w:type="dxa" w:w="100"/>
              <w:left w:type="dxa" w:w="120"/>
              <w:bottom w:type="dxa" w:w="100"/>
              <w:right w:type="dxa" w:w="120"/>
            </w:tcMar>
          </w:tcPr>
          <w:p>
            <w:r>
              <w:rPr>
                <w:rFonts w:ascii="Calibri" w:cs="Calibri" w:eastAsia="Calibri" w:hAnsi="Calibri"/>
                <w:sz w:val="20"/>
                <w:szCs w:val="20"/>
              </w:rPr>
              <w:t xml:space="preserve">[Reg. No.]</w:t>
            </w:r>
          </w:p>
        </w:tc>
        <w:tc>
          <w:tcPr>
            <w:tcW w:type="dxa" w:w="3120"/>
            <w:tcMar>
              <w:top w:type="dxa" w:w="100"/>
              <w:left w:type="dxa" w:w="120"/>
              <w:bottom w:type="dxa" w:w="100"/>
              <w:right w:type="dxa" w:w="120"/>
            </w:tcMar>
          </w:tcPr>
          <w:p>
            <w:r>
              <w:rPr>
                <w:rFonts w:ascii="Calibri" w:cs="Calibri" w:eastAsia="Calibri" w:hAnsi="Calibri"/>
                <w:sz w:val="20"/>
                <w:szCs w:val="20"/>
              </w:rPr>
              <w:t xml:space="preserve">Notes &amp; Distillation Pipeline</w:t>
            </w:r>
          </w:p>
        </w:tc>
      </w:tr>
      <w:tr>
        <w:tc>
          <w:tcPr>
            <w:tcW w:type="dxa" w:w="3120"/>
            <w:tcMar>
              <w:top w:type="dxa" w:w="100"/>
              <w:left w:type="dxa" w:w="120"/>
              <w:bottom w:type="dxa" w:w="100"/>
              <w:right w:type="dxa" w:w="120"/>
            </w:tcMar>
          </w:tcPr>
          <w:p>
            <w:r>
              <w:rPr>
                <w:rFonts w:ascii="Calibri" w:cs="Calibri" w:eastAsia="Calibri" w:hAnsi="Calibri"/>
                <w:sz w:val="20"/>
                <w:szCs w:val="20"/>
              </w:rPr>
              <w:t xml:space="preserve">[Team Member 5]</w:t>
            </w:r>
          </w:p>
        </w:tc>
        <w:tc>
          <w:tcPr>
            <w:tcW w:type="dxa" w:w="3120"/>
            <w:tcMar>
              <w:top w:type="dxa" w:w="100"/>
              <w:left w:type="dxa" w:w="120"/>
              <w:bottom w:type="dxa" w:w="100"/>
              <w:right w:type="dxa" w:w="120"/>
            </w:tcMar>
          </w:tcPr>
          <w:p>
            <w:r>
              <w:rPr>
                <w:rFonts w:ascii="Calibri" w:cs="Calibri" w:eastAsia="Calibri" w:hAnsi="Calibri"/>
                <w:sz w:val="20"/>
                <w:szCs w:val="20"/>
              </w:rPr>
              <w:t xml:space="preserve">[Reg. No.]</w:t>
            </w:r>
          </w:p>
        </w:tc>
        <w:tc>
          <w:tcPr>
            <w:tcW w:type="dxa" w:w="3120"/>
            <w:tcMar>
              <w:top w:type="dxa" w:w="100"/>
              <w:left w:type="dxa" w:w="120"/>
              <w:bottom w:type="dxa" w:w="100"/>
              <w:right w:type="dxa" w:w="120"/>
            </w:tcMar>
          </w:tcPr>
          <w:p>
            <w:r>
              <w:rPr>
                <w:rFonts w:ascii="Calibri" w:cs="Calibri" w:eastAsia="Calibri" w:hAnsi="Calibri"/>
                <w:sz w:val="20"/>
                <w:szCs w:val="20"/>
              </w:rPr>
              <w:t xml:space="preserve">Shell &amp; Diagnostics (Windows/WSL)</w:t>
            </w:r>
          </w:p>
        </w:tc>
      </w:tr>
    </w:tbl>
    <w:p>
      <w:r>
        <w:br w:type="page"/>
      </w:r>
    </w:p>
    <w:p>
      <w:pPr>
        <w:pStyle w:val="Heading1"/>
        <w:spacing w:after="160" w:before="320"/>
      </w:pPr>
      <w:r>
        <w:t xml:space="preserve">Abstract</w:t>
      </w:r>
    </w:p>
    <w:p>
      <w:pPr>
        <w:spacing w:after="160" w:line="276"/>
        <w:jc w:val="both"/>
      </w:pPr>
      <w:r>
        <w:rPr>
          <w:rFonts w:ascii="Calibri" w:cs="Calibri" w:eastAsia="Calibri" w:hAnsi="Calibri"/>
          <w:sz w:val="22"/>
          <w:szCs w:val="22"/>
        </w:rPr>
        <w:t xml:space="preserve">llmctl is a locally-run terminal dashboard that lets a developer manage multiple large language model (LLM) providers — Anthropic, OpenRouter, and Ollama — from a single interactive interface on Windows and WSL. It solves three concrete problems that existing tools do not: environment configuration friction between PowerShell and WSL, the lack of any live diagnostics for the AI development environment, and the inability to switch providers mid-conversation without either losing context or re-paying the full token cost of the conversation on every switch. The project's central technical contribution is a distillation-based context handoff mechanism, which extracts structured, attributable notes from an ongoing session and uses them — rather than a full raw transcript replay — to preserve continuity across a provider switch at a fraction of the token cost. The system is designed so this approach can later be extended into a retrieval-based memory system without architectural rework, though that extension is explicitly out of scope for this project.</w:t>
      </w:r>
    </w:p>
    <w:p>
      <w:pPr>
        <w:pStyle w:val="Heading1"/>
        <w:spacing w:after="160" w:before="320"/>
      </w:pPr>
      <w:r>
        <w:t xml:space="preserve">1. Introduction</w:t>
      </w:r>
    </w:p>
    <w:p>
      <w:pPr>
        <w:spacing w:after="160" w:line="276"/>
        <w:jc w:val="both"/>
      </w:pPr>
      <w:r>
        <w:rPr>
          <w:rFonts w:ascii="Calibri" w:cs="Calibri" w:eastAsia="Calibri" w:hAnsi="Calibri"/>
          <w:sz w:val="22"/>
          <w:szCs w:val="22"/>
        </w:rPr>
        <w:t xml:space="preserve">The rapid growth of large language model providers and AI-assisted coding agents (such as Claude Code, Codex, and OpenCode) has made multi-provider workflows increasingly common among developers. It is now routine to route different tasks to different models — a frontier model for complex reasoning, a cheaper or local model for high-volume tasks — to balance capability against cost. However, the tooling to support this workflow smoothly, particularly on Windows using WSL as a Linux development environment, remains immature. This proposal describes llmctl, a terminal-based tool designed to close that gap.</w:t>
      </w:r>
    </w:p>
    <w:p>
      <w:pPr>
        <w:pStyle w:val="Heading1"/>
        <w:spacing w:after="160" w:before="320"/>
      </w:pPr>
      <w:r>
        <w:t xml:space="preserve">2. Problem Statement</w:t>
      </w:r>
    </w:p>
    <w:p>
      <w:pPr>
        <w:spacing w:after="160" w:line="276"/>
        <w:jc w:val="both"/>
      </w:pPr>
      <w:r>
        <w:rPr>
          <w:rFonts w:ascii="Calibri" w:cs="Calibri" w:eastAsia="Calibri" w:hAnsi="Calibri"/>
          <w:sz w:val="22"/>
          <w:szCs w:val="22"/>
        </w:rPr>
        <w:t xml:space="preserve">Developers working across multiple LLM providers inside AI coding agents lose significant time to environment friction: mismatched environment variable syntax between PowerShell and WSL, provider-specific authentication schemes, incorrect or outdated model identifiers, and local services (such as WSL itself, Redis, or Ollama) failing silently. This is a workflow and diagnostics problem, not a model-capability problem, and no dedicated tool currently addresses it.</w:t>
      </w:r>
    </w:p>
    <w:p>
      <w:pPr>
        <w:spacing w:after="160" w:line="276"/>
        <w:jc w:val="both"/>
      </w:pPr>
      <w:r>
        <w:rPr>
          <w:rFonts w:ascii="Calibri" w:cs="Calibri" w:eastAsia="Calibri" w:hAnsi="Calibri"/>
          <w:sz w:val="22"/>
          <w:szCs w:val="22"/>
        </w:rPr>
        <w:t xml:space="preserve">A second, more technically significant problem arises when a developer switches providers mid-task. There is currently no mechanism to carry conversation context and tool-use history across such a switch without either manually reconstructing it or naively replaying the entire raw transcript — which re-bills the full conversation as input tokens on every switch, with no visibility into that cost beforehand, and no record afterward of which model produced which part of the conversation.</w:t>
      </w:r>
    </w:p>
    <w:p>
      <w:pPr>
        <w:pStyle w:val="Heading1"/>
        <w:spacing w:after="160" w:before="320"/>
      </w:pPr>
      <w:r>
        <w:t xml:space="preserve">3. Objectives</w:t>
      </w:r>
    </w:p>
    <w:p>
      <w:pPr>
        <w:pStyle w:val="ListParagraph"/>
        <w:numPr>
          <w:ilvl w:val="0"/>
          <w:numId w:val="2"/>
        </w:numPr>
        <w:spacing w:after="80"/>
      </w:pPr>
      <w:r>
        <w:rPr>
          <w:rFonts w:ascii="Calibri" w:cs="Calibri" w:eastAsia="Calibri" w:hAnsi="Calibri"/>
          <w:sz w:val="22"/>
          <w:szCs w:val="22"/>
        </w:rPr>
        <w:t xml:space="preserve">Design and implement a cross-shell (PowerShell / WSL) environment and provider configuration manager for Anthropic, OpenRouter, and Ollama.</w:t>
      </w:r>
    </w:p>
    <w:p>
      <w:pPr>
        <w:pStyle w:val="ListParagraph"/>
        <w:numPr>
          <w:ilvl w:val="0"/>
          <w:numId w:val="2"/>
        </w:numPr>
        <w:spacing w:after="80"/>
      </w:pPr>
      <w:r>
        <w:rPr>
          <w:rFonts w:ascii="Calibri" w:cs="Calibri" w:eastAsia="Calibri" w:hAnsi="Calibri"/>
          <w:sz w:val="22"/>
          <w:szCs w:val="22"/>
        </w:rPr>
        <w:t xml:space="preserve">Build a persistent, live diagnostics panel that continuously verifies the health of the local AI development environment (WSL state, Redis, network reachability, provider authentication).</w:t>
      </w:r>
    </w:p>
    <w:p>
      <w:pPr>
        <w:pStyle w:val="ListParagraph"/>
        <w:numPr>
          <w:ilvl w:val="0"/>
          <w:numId w:val="2"/>
        </w:numPr>
        <w:spacing w:after="80"/>
      </w:pPr>
      <w:r>
        <w:rPr>
          <w:rFonts w:ascii="Calibri" w:cs="Calibri" w:eastAsia="Calibri" w:hAnsi="Calibri"/>
          <w:sz w:val="22"/>
          <w:szCs w:val="22"/>
        </w:rPr>
        <w:t xml:space="preserve">Design and implement a distillation-based context handoff mechanism that preserves conversational continuity across a mid-session provider switch at significantly lower token cost than full transcript replay.</w:t>
      </w:r>
    </w:p>
    <w:p>
      <w:pPr>
        <w:pStyle w:val="ListParagraph"/>
        <w:numPr>
          <w:ilvl w:val="0"/>
          <w:numId w:val="2"/>
        </w:numPr>
        <w:spacing w:after="80"/>
      </w:pPr>
      <w:r>
        <w:rPr>
          <w:rFonts w:ascii="Calibri" w:cs="Calibri" w:eastAsia="Calibri" w:hAnsi="Calibri"/>
          <w:sz w:val="22"/>
          <w:szCs w:val="22"/>
        </w:rPr>
        <w:t xml:space="preserve">Attribute every message and extracted note to the specific provider and model that produced it, and surface this attribution clearly in the interface.</w:t>
      </w:r>
    </w:p>
    <w:p>
      <w:pPr>
        <w:pStyle w:val="ListParagraph"/>
        <w:numPr>
          <w:ilvl w:val="0"/>
          <w:numId w:val="2"/>
        </w:numPr>
        <w:spacing w:after="80"/>
      </w:pPr>
      <w:r>
        <w:rPr>
          <w:rFonts w:ascii="Calibri" w:cs="Calibri" w:eastAsia="Calibri" w:hAnsi="Calibri"/>
          <w:sz w:val="22"/>
          <w:szCs w:val="22"/>
        </w:rPr>
        <w:t xml:space="preserve">Architect the underlying data model so that a future upgrade to retrieval-based (embedding and semantic search) session memory is additive rather than requiring a rewrite.</w:t>
      </w:r>
    </w:p>
    <w:p>
      <w:pPr>
        <w:pStyle w:val="ListParagraph"/>
        <w:numPr>
          <w:ilvl w:val="0"/>
          <w:numId w:val="2"/>
        </w:numPr>
        <w:spacing w:after="80"/>
      </w:pPr>
      <w:r>
        <w:rPr>
          <w:rFonts w:ascii="Calibri" w:cs="Calibri" w:eastAsia="Calibri" w:hAnsi="Calibri"/>
          <w:sz w:val="22"/>
          <w:szCs w:val="22"/>
        </w:rPr>
        <w:t xml:space="preserve">Deliver a terminal user interface (TUI) with a visual quality comparable to established terminal tools in this category (e.g. lazygit, k9s), built using Go and the Bubble Tea framework.</w:t>
      </w:r>
    </w:p>
    <w:p>
      <w:pPr>
        <w:pStyle w:val="Heading1"/>
        <w:spacing w:after="160" w:before="320"/>
      </w:pPr>
      <w:r>
        <w:t xml:space="preserve">4. Review of Existing Systems</w:t>
      </w:r>
    </w:p>
    <w:p>
      <w:pPr>
        <w:spacing w:after="160" w:line="276"/>
        <w:jc w:val="both"/>
      </w:pPr>
      <w:r>
        <w:rPr>
          <w:rFonts w:ascii="Calibri" w:cs="Calibri" w:eastAsia="Calibri" w:hAnsi="Calibri"/>
          <w:sz w:val="22"/>
          <w:szCs w:val="22"/>
        </w:rPr>
        <w:t xml:space="preserve">Several existing tools partially address adjacent problems, but none address the specific combination of problems targeted by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20"/>
        <w:gridCol w:w="3040"/>
      </w:tblGrid>
      <w:tr>
        <w:tc>
          <w:tcPr>
            <w:tcW w:type="dxa" w:w="3200"/>
            <w:shd w:fill="2C2C2A" w:color="auto" w:val="clear"/>
            <w:tcMar>
              <w:top w:type="dxa" w:w="80"/>
              <w:left w:type="dxa" w:w="100"/>
              <w:bottom w:type="dxa" w:w="80"/>
              <w:right w:type="dxa" w:w="100"/>
            </w:tcMar>
          </w:tcPr>
          <w:p>
            <w:r>
              <w:rPr>
                <w:rFonts w:ascii="Calibri" w:cs="Calibri" w:eastAsia="Calibri" w:hAnsi="Calibri"/>
                <w:b/>
                <w:bCs/>
                <w:color w:val="FFFFFF"/>
                <w:sz w:val="20"/>
                <w:szCs w:val="20"/>
              </w:rPr>
              <w:t xml:space="preserve">Existing System</w:t>
            </w:r>
          </w:p>
        </w:tc>
        <w:tc>
          <w:tcPr>
            <w:tcW w:type="dxa" w:w="3120"/>
            <w:shd w:fill="2C2C2A" w:color="auto" w:val="clear"/>
            <w:tcMar>
              <w:top w:type="dxa" w:w="80"/>
              <w:left w:type="dxa" w:w="100"/>
              <w:bottom w:type="dxa" w:w="80"/>
              <w:right w:type="dxa" w:w="100"/>
            </w:tcMar>
          </w:tcPr>
          <w:p>
            <w:r>
              <w:rPr>
                <w:rFonts w:ascii="Calibri" w:cs="Calibri" w:eastAsia="Calibri" w:hAnsi="Calibri"/>
                <w:b/>
                <w:bCs/>
                <w:color w:val="FFFFFF"/>
                <w:sz w:val="20"/>
                <w:szCs w:val="20"/>
              </w:rPr>
              <w:t xml:space="preserve">What it solves</w:t>
            </w:r>
          </w:p>
        </w:tc>
        <w:tc>
          <w:tcPr>
            <w:tcW w:type="dxa" w:w="3040"/>
            <w:shd w:fill="2C2C2A" w:color="auto" w:val="clear"/>
            <w:tcMar>
              <w:top w:type="dxa" w:w="80"/>
              <w:left w:type="dxa" w:w="100"/>
              <w:bottom w:type="dxa" w:w="80"/>
              <w:right w:type="dxa" w:w="100"/>
            </w:tcMar>
          </w:tcPr>
          <w:p>
            <w:r>
              <w:rPr>
                <w:rFonts w:ascii="Calibri" w:cs="Calibri" w:eastAsia="Calibri" w:hAnsi="Calibri"/>
                <w:b/>
                <w:bCs/>
                <w:color w:val="FFFFFF"/>
                <w:sz w:val="20"/>
                <w:szCs w:val="20"/>
              </w:rPr>
              <w:t xml:space="preserve">Gap relative to llmctl</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LiteLLM</w:t>
            </w:r>
          </w:p>
        </w:tc>
        <w:tc>
          <w:tcPr>
            <w:tcW w:type="dxa" w:w="3120"/>
            <w:tcMar>
              <w:top w:type="dxa" w:w="80"/>
              <w:left w:type="dxa" w:w="100"/>
              <w:bottom w:type="dxa" w:w="80"/>
              <w:right w:type="dxa" w:w="100"/>
            </w:tcMar>
          </w:tcPr>
          <w:p>
            <w:r>
              <w:rPr>
                <w:rFonts w:ascii="Calibri" w:cs="Calibri" w:eastAsia="Calibri" w:hAnsi="Calibri"/>
                <w:b w:val="false"/>
                <w:bCs w:val="false"/>
                <w:color w:val="000000"/>
                <w:sz w:val="20"/>
                <w:szCs w:val="20"/>
              </w:rPr>
              <w:t xml:space="preserve">Multi-provider request routing via a proxy server; broad provider support</w:t>
            </w:r>
          </w:p>
        </w:tc>
        <w:tc>
          <w:tcPr>
            <w:tcW w:type="dxa" w:w="3040"/>
            <w:tcMar>
              <w:top w:type="dxa" w:w="80"/>
              <w:left w:type="dxa" w:w="100"/>
              <w:bottom w:type="dxa" w:w="80"/>
              <w:right w:type="dxa" w:w="100"/>
            </w:tcMar>
          </w:tcPr>
          <w:p>
            <w:r>
              <w:rPr>
                <w:rFonts w:ascii="Calibri" w:cs="Calibri" w:eastAsia="Calibri" w:hAnsi="Calibri"/>
                <w:b w:val="false"/>
                <w:bCs w:val="false"/>
                <w:color w:val="000000"/>
                <w:sz w:val="20"/>
                <w:szCs w:val="20"/>
              </w:rPr>
              <w:t xml:space="preserve">Server/proxy-based, not an interactive terminal experience; no mid-session context-preserving switch; not Windows/WSL-focused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Simon Willison's llm (CLI)</w:t>
            </w:r>
          </w:p>
        </w:tc>
        <w:tc>
          <w:tcPr>
            <w:tcW w:type="dxa" w:w="3120"/>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Single-shot multi-provider command-line queries with a plugin ecosystem</w:t>
            </w:r>
          </w:p>
        </w:tc>
        <w:tc>
          <w:tcPr>
            <w:tcW w:type="dxa" w:w="3040"/>
            <w:tcMar>
              <w:top w:type="dxa" w:w="80"/>
              <w:left w:type="dxa" w:w="100"/>
              <w:bottom w:type="dxa" w:w="80"/>
              <w:right w:type="dxa" w:w="100"/>
            </w:tcMar>
          </w:tcPr>
          <w:p>
            <w:r>
              <w:rPr>
                <w:rFonts w:ascii="Calibri" w:cs="Calibri" w:eastAsia="Calibri" w:hAnsi="Calibri"/>
                <w:b w:val="false"/>
                <w:bCs w:val="false"/>
                <w:color w:val="000000"/>
                <w:sz w:val="20"/>
                <w:szCs w:val="20"/>
              </w:rPr>
              <w:t xml:space="preserve">Not an interactive session tool; no persistent diagnostics; no context handoff between providers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Hosted LLM gateways</w:t>
            </w:r>
          </w:p>
        </w:tc>
        <w:tc>
          <w:tcPr>
            <w:tcW w:type="dxa" w:w="3120"/>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 dashboard for API keys across many hosted models</w:t>
            </w:r>
          </w:p>
        </w:tc>
        <w:tc>
          <w:tcPr>
            <w:tcW w:type="dxa" w:w="3040"/>
            <w:tcMar>
              <w:top w:type="dxa" w:w="80"/>
              <w:left w:type="dxa" w:w="100"/>
              <w:bottom w:type="dxa" w:w="80"/>
              <w:right w:type="dxa" w:w="100"/>
            </w:tcMar>
          </w:tcPr>
          <w:p>
            <w:r>
              <w:rPr>
                <w:rFonts w:ascii="Calibri" w:cs="Calibri" w:eastAsia="Calibri" w:hAnsi="Calibri"/>
                <w:b w:val="false"/>
                <w:bCs w:val="false"/>
                <w:color w:val="000000"/>
                <w:sz w:val="20"/>
                <w:szCs w:val="20"/>
              </w:rPr>
              <w:t xml:space="preserve">Cloud-hosted, not local-first; no terminal interface; no environment diagnostics</w:t>
            </w:r>
          </w:p>
        </w:tc>
      </w:tr>
    </w:tbl>
    <w:p>
      <w:pPr>
        <w:spacing w:after="160"/>
      </w:pPr>
    </w:p>
    <w:p>
      <w:pPr>
        <w:spacing w:after="160" w:line="276"/>
        <w:jc w:val="both"/>
      </w:pPr>
      <w:r>
        <w:rPr>
          <w:rFonts w:ascii="Calibri" w:cs="Calibri" w:eastAsia="Calibri" w:hAnsi="Calibri"/>
          <w:sz w:val="22"/>
          <w:szCs w:val="22"/>
        </w:rPr>
        <w:t xml:space="preserve">The identified gap — a local-first, Windows/WSL-aware terminal dashboard with a cost-aware, context-preserving provider switch — forms the basis of this project's scope.</w:t>
      </w:r>
    </w:p>
    <w:p>
      <w:pPr>
        <w:pStyle w:val="Heading1"/>
        <w:spacing w:after="160" w:before="320"/>
      </w:pPr>
      <w:r>
        <w:t xml:space="preserve">5. Proposed System</w:t>
      </w:r>
    </w:p>
    <w:p>
      <w:pPr>
        <w:pStyle w:val="Heading2"/>
        <w:spacing w:after="120" w:before="240"/>
      </w:pPr>
      <w:r>
        <w:t xml:space="preserve">5.1 In Scope (v1)</w:t>
      </w:r>
    </w:p>
    <w:p>
      <w:pPr>
        <w:pStyle w:val="ListParagraph"/>
        <w:numPr>
          <w:ilvl w:val="0"/>
          <w:numId w:val="2"/>
        </w:numPr>
        <w:spacing w:after="80"/>
      </w:pPr>
      <w:r>
        <w:rPr>
          <w:rFonts w:ascii="Calibri" w:cs="Calibri" w:eastAsia="Calibri" w:hAnsi="Calibri"/>
          <w:sz w:val="22"/>
          <w:szCs w:val="22"/>
        </w:rPr>
        <w:t xml:space="preserve">Provider profile management for Anthropic, OpenRouter, and Ollama, stored in an encrypted local configuration file.</w:t>
      </w:r>
    </w:p>
    <w:p>
      <w:pPr>
        <w:pStyle w:val="ListParagraph"/>
        <w:numPr>
          <w:ilvl w:val="0"/>
          <w:numId w:val="2"/>
        </w:numPr>
        <w:spacing w:after="80"/>
      </w:pPr>
      <w:r>
        <w:rPr>
          <w:rFonts w:ascii="Calibri" w:cs="Calibri" w:eastAsia="Calibri" w:hAnsi="Calibri"/>
          <w:sz w:val="22"/>
          <w:szCs w:val="22"/>
        </w:rPr>
        <w:t xml:space="preserve">One-action provider/model switching with automatic, shell-aware environment variable propagation (PowerShell and WSL/Bash).</w:t>
      </w:r>
    </w:p>
    <w:p>
      <w:pPr>
        <w:pStyle w:val="ListParagraph"/>
        <w:numPr>
          <w:ilvl w:val="0"/>
          <w:numId w:val="2"/>
        </w:numPr>
        <w:spacing w:after="80"/>
      </w:pPr>
      <w:r>
        <w:rPr>
          <w:rFonts w:ascii="Calibri" w:cs="Calibri" w:eastAsia="Calibri" w:hAnsi="Calibri"/>
          <w:sz w:val="22"/>
          <w:szCs w:val="22"/>
        </w:rPr>
        <w:t xml:space="preserve">Distillation-based context handoff: structured note extraction during a session, attributed transcript and notes view, and a pre-switch token/cost comparison between full replay and distilled handoff.</w:t>
      </w:r>
    </w:p>
    <w:p>
      <w:pPr>
        <w:pStyle w:val="ListParagraph"/>
        <w:numPr>
          <w:ilvl w:val="0"/>
          <w:numId w:val="2"/>
        </w:numPr>
        <w:spacing w:after="80"/>
      </w:pPr>
      <w:r>
        <w:rPr>
          <w:rFonts w:ascii="Calibri" w:cs="Calibri" w:eastAsia="Calibri" w:hAnsi="Calibri"/>
          <w:sz w:val="22"/>
          <w:szCs w:val="22"/>
        </w:rPr>
        <w:t xml:space="preserve">A persistent, continuously-refreshed diagnostics (“doctor”) panel covering WSL state, Redis, network reachability, and provider authentication.</w:t>
      </w:r>
    </w:p>
    <w:p>
      <w:pPr>
        <w:pStyle w:val="ListParagraph"/>
        <w:numPr>
          <w:ilvl w:val="0"/>
          <w:numId w:val="2"/>
        </w:numPr>
        <w:spacing w:after="80"/>
      </w:pPr>
      <w:r>
        <w:rPr>
          <w:rFonts w:ascii="Calibri" w:cs="Calibri" w:eastAsia="Calibri" w:hAnsi="Calibri"/>
          <w:sz w:val="22"/>
          <w:szCs w:val="22"/>
        </w:rPr>
        <w:t xml:space="preserve">Exportable, attributed session transcripts and notes (Markdown/JSON).</w:t>
      </w:r>
    </w:p>
    <w:p>
      <w:pPr>
        <w:pStyle w:val="Heading2"/>
        <w:spacing w:after="120" w:before="240"/>
      </w:pPr>
      <w:r>
        <w:t xml:space="preserve">5.2 Out of Scope (v1)</w:t>
      </w:r>
    </w:p>
    <w:p>
      <w:pPr>
        <w:pStyle w:val="ListParagraph"/>
        <w:numPr>
          <w:ilvl w:val="0"/>
          <w:numId w:val="2"/>
        </w:numPr>
        <w:spacing w:after="80"/>
      </w:pPr>
      <w:r>
        <w:rPr>
          <w:rFonts w:ascii="Calibri" w:cs="Calibri" w:eastAsia="Calibri" w:hAnsi="Calibri"/>
          <w:sz w:val="22"/>
          <w:szCs w:val="22"/>
        </w:rPr>
        <w:t xml:space="preserve">Retrieval-based (embedding and semantic search) session memory — deferred by design; the data schema is built to support this as a future extension without rework.</w:t>
      </w:r>
    </w:p>
    <w:p>
      <w:pPr>
        <w:pStyle w:val="ListParagraph"/>
        <w:numPr>
          <w:ilvl w:val="0"/>
          <w:numId w:val="2"/>
        </w:numPr>
        <w:spacing w:after="80"/>
      </w:pPr>
      <w:r>
        <w:rPr>
          <w:rFonts w:ascii="Calibri" w:cs="Calibri" w:eastAsia="Calibri" w:hAnsi="Calibri"/>
          <w:sz w:val="22"/>
          <w:szCs w:val="22"/>
        </w:rPr>
        <w:t xml:space="preserve">Any hosted or server-side component; the system is fully local with no user accounts.</w:t>
      </w:r>
    </w:p>
    <w:p>
      <w:pPr>
        <w:pStyle w:val="ListParagraph"/>
        <w:numPr>
          <w:ilvl w:val="0"/>
          <w:numId w:val="2"/>
        </w:numPr>
        <w:spacing w:after="80"/>
      </w:pPr>
      <w:r>
        <w:rPr>
          <w:rFonts w:ascii="Calibri" w:cs="Calibri" w:eastAsia="Calibri" w:hAnsi="Calibri"/>
          <w:sz w:val="22"/>
          <w:szCs w:val="22"/>
        </w:rPr>
        <w:t xml:space="preserve">Team or multi-user collaboration features.</w:t>
      </w:r>
    </w:p>
    <w:p>
      <w:pPr>
        <w:pStyle w:val="ListParagraph"/>
        <w:numPr>
          <w:ilvl w:val="0"/>
          <w:numId w:val="2"/>
        </w:numPr>
        <w:spacing w:after="80"/>
      </w:pPr>
      <w:r>
        <w:rPr>
          <w:rFonts w:ascii="Calibri" w:cs="Calibri" w:eastAsia="Calibri" w:hAnsi="Calibri"/>
          <w:sz w:val="22"/>
          <w:szCs w:val="22"/>
        </w:rPr>
        <w:t xml:space="preserve">Monetization, billing, or any paid tier.</w:t>
      </w:r>
    </w:p>
    <w:p>
      <w:pPr>
        <w:pStyle w:val="ListParagraph"/>
        <w:numPr>
          <w:ilvl w:val="0"/>
          <w:numId w:val="2"/>
        </w:numPr>
        <w:spacing w:after="80"/>
      </w:pPr>
      <w:r>
        <w:rPr>
          <w:rFonts w:ascii="Calibri" w:cs="Calibri" w:eastAsia="Calibri" w:hAnsi="Calibri"/>
          <w:sz w:val="22"/>
          <w:szCs w:val="22"/>
        </w:rPr>
        <w:t xml:space="preserve">macOS, Linux, and ARM builds (planned for after this project; the architecture avoids Windows-only assumptions to keep this feasible later).</w:t>
      </w:r>
    </w:p>
    <w:p>
      <w:pPr>
        <w:pStyle w:val="ListParagraph"/>
        <w:numPr>
          <w:ilvl w:val="0"/>
          <w:numId w:val="2"/>
        </w:numPr>
        <w:spacing w:after="80"/>
      </w:pPr>
      <w:r>
        <w:rPr>
          <w:rFonts w:ascii="Calibri" w:cs="Calibri" w:eastAsia="Calibri" w:hAnsi="Calibri"/>
          <w:sz w:val="22"/>
          <w:szCs w:val="22"/>
        </w:rPr>
        <w:t xml:space="preserve">Telemetry, analytics, or crash reporting of any kind.</w:t>
      </w:r>
    </w:p>
    <w:p>
      <w:pPr>
        <w:pStyle w:val="ListParagraph"/>
        <w:numPr>
          <w:ilvl w:val="0"/>
          <w:numId w:val="2"/>
        </w:numPr>
        <w:spacing w:after="80"/>
      </w:pPr>
      <w:r>
        <w:rPr>
          <w:rFonts w:ascii="Calibri" w:cs="Calibri" w:eastAsia="Calibri" w:hAnsi="Calibri"/>
          <w:sz w:val="22"/>
          <w:szCs w:val="22"/>
        </w:rPr>
        <w:t xml:space="preserve">Support for LLM providers beyond Anthropic, OpenRouter, and Ollama at launch.</w:t>
      </w:r>
    </w:p>
    <w:p>
      <w:pPr>
        <w:pStyle w:val="Heading1"/>
        <w:spacing w:after="160" w:before="320"/>
      </w:pPr>
      <w:r>
        <w:t xml:space="preserve">6. Methodology and Technology Stack</w:t>
      </w:r>
    </w:p>
    <w:p>
      <w:pPr>
        <w:spacing w:after="160" w:line="276"/>
        <w:jc w:val="both"/>
      </w:pPr>
      <w:r>
        <w:rPr>
          <w:rFonts w:ascii="Calibri" w:cs="Calibri" w:eastAsia="Calibri" w:hAnsi="Calibri"/>
          <w:sz w:val="22"/>
          <w:szCs w:val="22"/>
        </w:rPr>
        <w:t xml:space="preserve">The system will be developed in Go, using the Bubble Tea framework for the terminal interface, chosen for its compile-to-single-binary distribution model, native cross-platform compilation, and established use in comparable terminal tools. Session and note data will be persisted locally using SQLite, with notes stored as structured, individually addressable rows rather than unstructured text, so that a future retrieval-based memory system can be layered on top without re-architecting the storage model. Provider credentials will be encrypted at rest using the age encryption library, with the operating system's credential store (e.g. Windows Credential Manager) used to protect the decryption passphrase. Each LLM provider is implemented as an independent adapter behind a common interface, allowing providers to be developed and tested in parallel by different team members.</w:t>
      </w:r>
    </w:p>
    <w:p>
      <w:pPr>
        <w:spacing w:after="160" w:line="276"/>
        <w:jc w:val="both"/>
      </w:pPr>
      <w:r>
        <w:rPr>
          <w:rFonts w:ascii="Calibri" w:cs="Calibri" w:eastAsia="Calibri" w:hAnsi="Calibri"/>
          <w:sz w:val="22"/>
          <w:szCs w:val="22"/>
        </w:rPr>
        <w:t xml:space="preserve">Development will proceed using an iterative, module-first approach: shared interfaces (provider adapter contract, canonical message schema) will be defined first to unblock parallel work across the five-member team, followed by independent development of the provider adapters, TUI components, notes/distillation pipeline, and Windows/WSL-specific diagnostics modules, integrated continuously rather than at the end of the project.</w:t>
      </w:r>
    </w:p>
    <w:p>
      <w:pPr>
        <w:pStyle w:val="Heading1"/>
        <w:spacing w:after="160" w:before="320"/>
      </w:pPr>
      <w:r>
        <w:t xml:space="preserve">7.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shd w:fill="2C2C2A" w:color="auto"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1800"/>
            <w:shd w:fill="2C2C2A" w:color="auto" w:val="clear"/>
            <w:tcMar>
              <w:top w:type="dxa" w:w="80"/>
              <w:left w:type="dxa" w:w="100"/>
              <w:bottom w:type="dxa" w:w="80"/>
              <w:right w:type="dxa" w:w="100"/>
            </w:tcMar>
          </w:tcPr>
          <w:p>
            <w:r>
              <w:rPr>
                <w:rFonts w:ascii="Calibri" w:cs="Calibri" w:eastAsia="Calibri" w:hAnsi="Calibri"/>
                <w:b/>
                <w:bCs/>
                <w:color w:val="FFFFFF"/>
                <w:sz w:val="20"/>
                <w:szCs w:val="20"/>
              </w:rPr>
              <w:t xml:space="preserve">Duration</w:t>
            </w:r>
          </w:p>
        </w:tc>
        <w:tc>
          <w:tcPr>
            <w:tcW w:type="dxa" w:w="4960"/>
            <w:shd w:fill="2C2C2A" w:color="auto" w:val="clear"/>
            <w:tcMar>
              <w:top w:type="dxa" w:w="80"/>
              <w:left w:type="dxa" w:w="100"/>
              <w:bottom w:type="dxa" w:w="80"/>
              <w:right w:type="dxa" w:w="100"/>
            </w:tcMar>
          </w:tcPr>
          <w:p>
            <w:r>
              <w:rPr>
                <w:rFonts w:ascii="Calibri" w:cs="Calibri" w:eastAsia="Calibri" w:hAnsi="Calibri"/>
                <w:b/>
                <w:bCs/>
                <w:color w:val="FFFFFF"/>
                <w:sz w:val="20"/>
                <w:szCs w:val="20"/>
              </w:rPr>
              <w:t xml:space="preserve">Deliverables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1: Foundations</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Months 1–2</w:t>
            </w:r>
          </w:p>
        </w:tc>
        <w:tc>
          <w:tcPr>
            <w:tcW w:type="dxa" w:w="4960"/>
            <w:tcMar>
              <w:top w:type="dxa" w:w="80"/>
              <w:left w:type="dxa" w:w="100"/>
              <w:bottom w:type="dxa" w:w="80"/>
              <w:right w:type="dxa" w:w="100"/>
            </w:tcMar>
          </w:tcPr>
          <w:p>
            <w:r>
              <w:rPr>
                <w:rFonts w:ascii="Calibri" w:cs="Calibri" w:eastAsia="Calibri" w:hAnsi="Calibri"/>
                <w:b w:val="false"/>
                <w:bCs w:val="false"/>
                <w:color w:val="000000"/>
                <w:sz w:val="20"/>
                <w:szCs w:val="20"/>
              </w:rPr>
              <w:t xml:space="preserve">Provider profile management, shell detection and environment propagation, basic TUI shell</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2: Core differentiator</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Months 3–4</w:t>
            </w:r>
          </w:p>
        </w:tc>
        <w:tc>
          <w:tcPr>
            <w:tcW w:type="dxa" w:w="4960"/>
            <w:tcMar>
              <w:top w:type="dxa" w:w="80"/>
              <w:left w:type="dxa" w:w="100"/>
              <w:bottom w:type="dxa" w:w="80"/>
              <w:right w:type="dxa" w:w="100"/>
            </w:tcMar>
          </w:tcPr>
          <w:p>
            <w:r>
              <w:rPr>
                <w:rFonts w:ascii="Calibri" w:cs="Calibri" w:eastAsia="Calibri" w:hAnsi="Calibri"/>
                <w:b w:val="false"/>
                <w:bCs w:val="false"/>
                <w:color w:val="000000"/>
                <w:sz w:val="20"/>
                <w:szCs w:val="20"/>
              </w:rPr>
              <w:t xml:space="preserve">Canonical message schema, distillation-based handoff logic, attributed transcript view — mid-point demo target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3: Diagnostics and polish</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Months 5–6</w:t>
            </w:r>
          </w:p>
        </w:tc>
        <w:tc>
          <w:tcPr>
            <w:tcW w:type="dxa" w:w="4960"/>
            <w:tcMar>
              <w:top w:type="dxa" w:w="80"/>
              <w:left w:type="dxa" w:w="100"/>
              <w:bottom w:type="dxa" w:w="80"/>
              <w:right w:type="dxa" w:w="100"/>
            </w:tcMar>
          </w:tcPr>
          <w:p>
            <w:r>
              <w:rPr>
                <w:rFonts w:ascii="Calibri" w:cs="Calibri" w:eastAsia="Calibri" w:hAnsi="Calibri"/>
                <w:b w:val="false"/>
                <w:bCs w:val="false"/>
                <w:color w:val="000000"/>
                <w:sz w:val="20"/>
                <w:szCs w:val="20"/>
              </w:rPr>
              <w:t xml:space="preserve">Live diagnostics panel, session export, error handling and stabilization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4: Release preparation</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Months 7–8</w:t>
            </w:r>
          </w:p>
        </w:tc>
        <w:tc>
          <w:tcPr>
            <w:tcW w:type="dxa" w:w="4960"/>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Documentation, demo materials, open-source release preparation, feedback incorporation</w:t>
            </w:r>
          </w:p>
        </w:tc>
      </w:tr>
    </w:tbl>
    <w:p>
      <w:pPr>
        <w:spacing w:after="160"/>
      </w:pPr>
    </w:p>
    <w:p>
      <w:pPr>
        <w:spacing w:after="160" w:line="276"/>
        <w:jc w:val="both"/>
      </w:pPr>
      <w:r>
        <w:rPr>
          <w:rFonts w:ascii="Calibri" w:cs="Calibri" w:eastAsia="Calibri" w:hAnsi="Calibri"/>
          <w:sz w:val="22"/>
          <w:szCs w:val="22"/>
        </w:rPr>
        <w:t xml:space="preserve">A working demonstration of the provider-switching and distillation-based handoff feature, including the live cost comparison, is targeted for the mid-point review at the end of Month 4.</w:t>
      </w:r>
    </w:p>
    <w:p>
      <w:pPr>
        <w:pStyle w:val="Heading1"/>
        <w:spacing w:after="160" w:before="320"/>
      </w:pPr>
      <w:r>
        <w:t xml:space="preserve">8. Expected Outcomes</w:t>
      </w:r>
    </w:p>
    <w:p>
      <w:pPr>
        <w:pStyle w:val="ListParagraph"/>
        <w:numPr>
          <w:ilvl w:val="0"/>
          <w:numId w:val="2"/>
        </w:numPr>
        <w:spacing w:after="80"/>
      </w:pPr>
      <w:r>
        <w:rPr>
          <w:rFonts w:ascii="Calibri" w:cs="Calibri" w:eastAsia="Calibri" w:hAnsi="Calibri"/>
          <w:sz w:val="22"/>
          <w:szCs w:val="22"/>
        </w:rPr>
        <w:t xml:space="preserve">A functioning, locally-run terminal application demonstrating cross-shell provider management on Windows/WSL.</w:t>
      </w:r>
    </w:p>
    <w:p>
      <w:pPr>
        <w:pStyle w:val="ListParagraph"/>
        <w:numPr>
          <w:ilvl w:val="0"/>
          <w:numId w:val="2"/>
        </w:numPr>
        <w:spacing w:after="80"/>
      </w:pPr>
      <w:r>
        <w:rPr>
          <w:rFonts w:ascii="Calibri" w:cs="Calibri" w:eastAsia="Calibri" w:hAnsi="Calibri"/>
          <w:sz w:val="22"/>
          <w:szCs w:val="22"/>
        </w:rPr>
        <w:t xml:space="preserve">A working, demonstrable implementation of distillation-based context handoff with measurable token/cost savings versus naive full-transcript replay.</w:t>
      </w:r>
    </w:p>
    <w:p>
      <w:pPr>
        <w:pStyle w:val="ListParagraph"/>
        <w:numPr>
          <w:ilvl w:val="0"/>
          <w:numId w:val="2"/>
        </w:numPr>
        <w:spacing w:after="80"/>
      </w:pPr>
      <w:r>
        <w:rPr>
          <w:rFonts w:ascii="Calibri" w:cs="Calibri" w:eastAsia="Calibri" w:hAnsi="Calibri"/>
          <w:sz w:val="22"/>
          <w:szCs w:val="22"/>
        </w:rPr>
        <w:t xml:space="preserve">A live diagnostics system capable of correctly identifying real environment failure states in a demo setting.</w:t>
      </w:r>
    </w:p>
    <w:p>
      <w:pPr>
        <w:pStyle w:val="ListParagraph"/>
        <w:numPr>
          <w:ilvl w:val="0"/>
          <w:numId w:val="2"/>
        </w:numPr>
        <w:spacing w:after="80"/>
      </w:pPr>
      <w:r>
        <w:rPr>
          <w:rFonts w:ascii="Calibri" w:cs="Calibri" w:eastAsia="Calibri" w:hAnsi="Calibri"/>
          <w:sz w:val="22"/>
          <w:szCs w:val="22"/>
        </w:rPr>
        <w:t xml:space="preserve">A data architecture that is documented and structured to support a future retrieval-based memory extension without redesign.</w:t>
      </w:r>
    </w:p>
    <w:p>
      <w:pPr>
        <w:pStyle w:val="ListParagraph"/>
        <w:numPr>
          <w:ilvl w:val="0"/>
          <w:numId w:val="2"/>
        </w:numPr>
        <w:spacing w:after="80"/>
      </w:pPr>
      <w:r>
        <w:rPr>
          <w:rFonts w:ascii="Calibri" w:cs="Calibri" w:eastAsia="Calibri" w:hAnsi="Calibri"/>
          <w:sz w:val="22"/>
          <w:szCs w:val="22"/>
        </w:rPr>
        <w:t xml:space="preserve">A public, open-source release aimed at Windows/WSL developers using multi-provider AI coding workflows.</w:t>
      </w:r>
    </w:p>
    <w:p>
      <w:pPr>
        <w:pStyle w:val="Heading1"/>
        <w:spacing w:after="160" w:before="320"/>
      </w:pPr>
      <w:r>
        <w:t xml:space="preserve">9. Team Composition and Module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shd w:fill="2C2C2A" w:color="auto" w:val="clear"/>
            <w:tcMar>
              <w:top w:type="dxa" w:w="80"/>
              <w:left w:type="dxa" w:w="100"/>
              <w:bottom w:type="dxa" w:w="80"/>
              <w:right w:type="dxa" w:w="100"/>
            </w:tcMar>
          </w:tcPr>
          <w:p>
            <w:r>
              <w:rPr>
                <w:rFonts w:ascii="Calibri" w:cs="Calibri" w:eastAsia="Calibri" w:hAnsi="Calibri"/>
                <w:b/>
                <w:bCs/>
                <w:color w:val="FFFFFF"/>
                <w:sz w:val="20"/>
                <w:szCs w:val="20"/>
              </w:rPr>
              <w:t xml:space="preserve">Team Member</w:t>
            </w:r>
          </w:p>
        </w:tc>
        <w:tc>
          <w:tcPr>
            <w:tcW w:type="dxa" w:w="3400"/>
            <w:shd w:fill="2C2C2A" w:color="auto" w:val="clear"/>
            <w:tcMar>
              <w:top w:type="dxa" w:w="80"/>
              <w:left w:type="dxa" w:w="100"/>
              <w:bottom w:type="dxa" w:w="80"/>
              <w:right w:type="dxa" w:w="100"/>
            </w:tcMar>
          </w:tcPr>
          <w:p>
            <w:r>
              <w:rPr>
                <w:rFonts w:ascii="Calibri" w:cs="Calibri" w:eastAsia="Calibri" w:hAnsi="Calibri"/>
                <w:b/>
                <w:bCs/>
                <w:color w:val="FFFFFF"/>
                <w:sz w:val="20"/>
                <w:szCs w:val="20"/>
              </w:rPr>
              <w:t xml:space="preserve">Primary Module</w:t>
            </w:r>
          </w:p>
        </w:tc>
        <w:tc>
          <w:tcPr>
            <w:tcW w:type="dxa" w:w="2760"/>
            <w:shd w:fill="2C2C2A" w:color="auto"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Ayush Kushwah (Lead)</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Storage layer, configuration/security, integration</w:t>
            </w:r>
          </w:p>
        </w:tc>
        <w:tc>
          <w:tcPr>
            <w:tcW w:type="dxa" w:w="2760"/>
            <w:tcMar>
              <w:top w:type="dxa" w:w="80"/>
              <w:left w:type="dxa" w:w="100"/>
              <w:bottom w:type="dxa" w:w="80"/>
              <w:right w:type="dxa" w:w="100"/>
            </w:tcMar>
          </w:tcPr>
          <w:p>
            <w:r>
              <w:rPr>
                <w:rFonts w:ascii="Calibri" w:cs="Calibri" w:eastAsia="Calibri" w:hAnsi="Calibri"/>
                <w:b w:val="false"/>
                <w:bCs w:val="false"/>
                <w:color w:val="000000"/>
                <w:sz w:val="20"/>
                <w:szCs w:val="20"/>
              </w:rPr>
              <w:t xml:space="preserve">Coordinates integration across all modules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Team Member 2</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Provider adapters (Anthropic, OpenRouter, Ollama)</w:t>
            </w:r>
          </w:p>
        </w:tc>
        <w:tc>
          <w:tcPr>
            <w:tcW w:type="dxa" w:w="2760"/>
            <w:tcMar>
              <w:top w:type="dxa" w:w="80"/>
              <w:left w:type="dxa" w:w="100"/>
              <w:bottom w:type="dxa" w:w="80"/>
              <w:right w:type="dxa" w:w="100"/>
            </w:tcMar>
          </w:tcPr>
          <w:p>
            <w:r>
              <w:rPr>
                <w:rFonts w:ascii="Calibri" w:cs="Calibri" w:eastAsia="Calibri" w:hAnsi="Calibri"/>
                <w:b w:val="false"/>
                <w:bCs w:val="false"/>
                <w:color w:val="000000"/>
                <w:sz w:val="20"/>
                <w:szCs w:val="20"/>
              </w:rPr>
              <w:t xml:space="preserve">Platform-agnostic; unblocks other modules early</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Team Member 3</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Terminal UI (Bubble Tea / Lip Gloss components)</w:t>
            </w:r>
          </w:p>
        </w:tc>
        <w:tc>
          <w:tcPr>
            <w:tcW w:type="dxa" w:w="2760"/>
            <w:tcMar>
              <w:top w:type="dxa" w:w="80"/>
              <w:left w:type="dxa" w:w="100"/>
              <w:bottom w:type="dxa" w:w="80"/>
              <w:right w:type="dxa" w:w="100"/>
            </w:tcMar>
          </w:tcPr>
          <w:p>
            <w:r>
              <w:rPr>
                <w:rFonts w:ascii="Calibri" w:cs="Calibri" w:eastAsia="Calibri" w:hAnsi="Calibri"/>
                <w:b w:val="false"/>
                <w:bCs w:val="false"/>
                <w:color w:val="000000"/>
                <w:sz w:val="20"/>
                <w:szCs w:val="20"/>
              </w:rPr>
              <w:t xml:space="preserve">Platform-agnostic</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Team Member 4</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Notes extraction and distillation handoff pipeline</w:t>
            </w:r>
          </w:p>
        </w:tc>
        <w:tc>
          <w:tcPr>
            <w:tcW w:type="dxa" w:w="2760"/>
            <w:tcMar>
              <w:top w:type="dxa" w:w="80"/>
              <w:left w:type="dxa" w:w="100"/>
              <w:bottom w:type="dxa" w:w="80"/>
              <w:right w:type="dxa" w:w="100"/>
            </w:tcMar>
          </w:tcPr>
          <w:p>
            <w:r>
              <w:rPr>
                <w:rFonts w:ascii="Calibri" w:cs="Calibri" w:eastAsia="Calibri" w:hAnsi="Calibri"/>
                <w:b w:val="false"/>
                <w:bCs w:val="false"/>
                <w:color w:val="000000"/>
                <w:sz w:val="20"/>
                <w:szCs w:val="20"/>
              </w:rPr>
              <w:t xml:space="preserve">Core technical contribution of the project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Team Member 5</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Shell detection and diagnostics (Windows/WSL-specific)</w:t>
            </w:r>
          </w:p>
        </w:tc>
        <w:tc>
          <w:tcPr>
            <w:tcW w:type="dxa" w:w="276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Requires direct access to a Windows/WSL environment</w:t>
            </w:r>
          </w:p>
        </w:tc>
      </w:tr>
    </w:tbl>
    <w:p>
      <w:pPr>
        <w:pStyle w:val="Heading1"/>
        <w:spacing w:after="160" w:before="320"/>
      </w:pPr>
      <w:r>
        <w:t xml:space="preserve">10. Supporting Documents</w:t>
      </w:r>
    </w:p>
    <w:p>
      <w:pPr>
        <w:spacing w:after="160" w:line="276"/>
        <w:jc w:val="both"/>
      </w:pPr>
      <w:r>
        <w:rPr>
          <w:rFonts w:ascii="Calibri" w:cs="Calibri" w:eastAsia="Calibri" w:hAnsi="Calibri"/>
          <w:sz w:val="22"/>
          <w:szCs w:val="22"/>
        </w:rPr>
        <w:t xml:space="preserve">This proposal is accompanied by two supporting documents prepared prior to this submission: a full Product Requirements Document (llmctl_PRD.md), detailing feature specifications, success metrics, and open design questions; and a Technical Architecture Document (llmctl_TECHNICAL_ARCHITECTURE.md), detailing the complete module structure, database schema, and configuration approach. Both are available on request and form the technical basis for the scope and timeline described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2026-08-20T07:12:28.732Z</dcterms:created>
  <dcterms:modified xsi:type="dcterms:W3CDTF">2026-08-20T07:12:28.749Z</dcterms:modified>
</cp:coreProperties>
</file>

<file path=docProps/custom.xml><?xml version="1.0" encoding="utf-8"?>
<Properties xmlns="http://schemas.openxmlformats.org/officeDocument/2006/custom-properties" xmlns:vt="http://schemas.openxmlformats.org/officeDocument/2006/docPropsVTypes"/>
</file>