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 ระเบียบวิธีวิจัย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การวิจัยครั้งนี้เป็นการวิจัยเชิงปริมาณ (Quantitative Research) โดยใช้ข้อมูลทุติยภูมิแบบแผง (Panel Data) รายไตรมาสของบริษัทจดทะเบียนกลุ่มธุรกิจโรงแรมในตลาดหลักทรัพย์แห่งประเทศไทย เพื่อเปรียบเทียบประสิทธิภาพการบริหารเงินทุนหมุนเวียน (วงจรเงินสด) และความสามารถในการทำกำไร (ROA, ROE) ระหว่างกลุ่มที่กระจายความเสี่ยงไปต่างประเทศกับกลุ่มที่ดำเนินธุรกิจเฉพาะภายในประเทศ โดยมีรายละเอียดของระเบียบวิธีดังนี้</w:t>
      </w:r>
    </w:p>
    <w:p>
      <w:pPr>
        <w:pStyle w:val="Heading2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6.1 ประชากรและกลุ่มตัวอย่าง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ประชากรที่ใช้ในการศึกษา คือ บริษัทจดทะเบียนในตลาดหลักทรัพย์แห่งประเทศไทย (SET) กลุ่มอุตสาหกรรมบริการ หมวดธุรกิจการท่องเที่ยวและสันทนาการ (Tourism &amp; Leisure) ที่ประกอบธุรกิจโรงแรมเป็นหลัก ผู้วิจัยเลือกกลุ่มตัวอย่างแบบเจาะจง (Purposive Sampling) ตามเกณฑ์การคัดกรอง ดังนี้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มีสัดส่วนรายได้หลักจากการประกอบธุรกิจโรงแรมหรือรับบริหารจัดการโรงแรมไม่น้อยกว่าร้อยละ 50 ของรายได้รวม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มีสถานะการดำเนินงานและการซื้อขายปกติ ไม่ถูกขึ้นเครื่องหมายห้ามซื้อขาย (SP) หรือเข้าข่ายอาจถูกเพิกถอน (NC) ตลอดช่วงเวลาที่ศึกษา และมีส่วนของผู้ถือหุ้นเป็นบวกในทุกงวดเพื่อความถูกต้องในการคำนวณอัตราส่วน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มีรอบระยะเวลาบัญชีสิ้นสุด ณ วันที่ 31 ธันวาคม ของทุกปี เพื่อควบคุมผลกระทบจากฤดูกาล (Seasonality) และให้เปรียบเทียบข้ามบริษัทได้บนงวดเวลาเดียวกัน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มีข้อมูลงบการเงินและรายงานประจำปีครบถ้วนตลอด 5 ปี (พ.ศ. 2564–2568) ครบทั้ง 4 ไตรมาสในแต่ละปี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จากเกณฑ์ดังกล่าว มีบริษัทผ่านการคัดเลือกจำนวน 10 บริษัท ผู้วิจัยจำแนกกลุ่มตามกลยุทธ์การกระจายความเสี่ยงทางภูมิศาสตร์ โดยใช้เกณฑ์ “สัดส่วนรายได้จากการดำเนินงานในต่างประเทศตั้งแต่ร้อยละ 20 ของรายได้รวมขึ้นไป” ซึ่งพิจารณาจากข้อมูลรายได้จำแนกตามส่วนงานภูมิศาสตร์ (Geographical Segment) ในหมายเหตุประกอบงบการเงินและรายงานประจำปี (แบบ 56-1 One Report) ของแต่ละบริษัท แบ่งได้ 2 กลุ่ม ดังตารางที่ 6.1</w:t>
      </w:r>
    </w:p>
    <w:p>
      <w:pPr>
        <w:spacing w:after="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ตารางที่ 6.1 การจำแนกกลุ่มตัวอย่างตามกลยุทธ์การกระจายความเสี่ยงทางภูมิศาสตร์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  <w:bCs/>
              </w:rPr>
              <w:t>กลุ่ม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  <w:bCs/>
              </w:rPr>
              <w:t>จำนวน</w:t>
            </w:r>
          </w:p>
        </w:tc>
        <w:tc>
          <w:tcPr>
            <w:tcW w:type="dxa" w:w="489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  <w:bCs/>
              </w:rPr>
              <w:t>บริษัท (ตัวย่อ)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กระจายความเสี่ยงต่างประเทศ (DIV = 1)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3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MINT, SHR, DUSIT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ดำเนินธุรกิจในประเทศ (DIV = 0, กลุ่มฐาน)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7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</w:rPr>
              <w:t>ERW, VRANDA, OHTL, SHANG, ASIA, MANRIN, CENTEL</w:t>
            </w:r>
          </w:p>
        </w:tc>
      </w:tr>
    </w:tbl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หมายเหตุ: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การจำแนกกลุ่มยึดสัดส่วนรายได้ต่างประเทศจากหมายเหตุส่วนงานเป็นหลัก ผู้วิจัยจะรายงานสัดส่วนรายได้ต่างประเทศของแต่ละบริษัทประกอบไว้ในภาคผนวก เพื่อยืนยันการจัดกลุ่มอย่างโปร่งใส ทั้งนี้ กรณีที่บริษัทมีการดำเนินงานในต่างประเทศแต่สัดส่วนรายได้ต่ำกว่าร้อยละ 20 (เช่น CENTEL) จะจัดอยู่ในกลุ่มดำเนินธุรกิจในประเทศ</w:t>
      </w:r>
    </w:p>
    <w:p>
      <w:pPr>
        <w:pStyle w:val="Heading2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6.2 การเก็บรวบรวมข้อมูล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งานวิจัยนี้ใช้ข้อมูลทุติยภูมิ (Secondary Data) เชิงปริมาณในรูปแบบข้อมูลแบบแผง (Panel Data) โดยใช้ข้อมูลรายไตรมาส (Quarterly Data) ตั้งแต่ไตรมาสที่ 1 ปี พ.ศ. 2564 ถึงไตรมาสที่ 4 ปี พ.ศ. 2568 รวม 5 ปี (20 ไตรมาส) ของบริษัทกลุ่มตัวอย่าง 10 บริษัท รวมทั้งสิ้น 200 ค่าสังเกต (Observations) ซึ่งจัดเป็นข้อมูลแบบแผงที่มีมิติภาคตัดขวาง (Cross-section) 10 บริษัท และมิติเวลา (Time-series) 20 ไตรมาส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ผู้วิจัยดึงตัวเลขทางการเงินจากงบแสดงฐานะการเงิน งบกำไรขาดทุนเบ็ดเสร็จ งบกระแสเงินสด หมายเหตุประกอบงบการเงิน และรายงานประจำปี (แบบ 56-1 One Report) ที่เผยแพร่ผ่านตลาดหลักทรัพย์แห่งประเทศไทย (SET) และฐานข้อมูล SETSMART โดยข้อมูลที่ใช้คำนวณในแต่ละตัวแปรสรุปไว้ในหัวข้อ 6.3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ข้อพึงระวังด้านความสม่ำเสมอของข้อมูล: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(1) งบการเงินไตรมาสของไทยเป็นตัวเลขราย 3 เดือน ยกเว้นบางบริษัทขนาดเล็ก (เช่น MANRIN) ที่ยื่นงบแบบสะสม (Year-to-Date) และไม่มีงบรายปีแยกต่างหาก ผู้วิจัยจึงแปลงเป็นตัวเลขรายไตรมาสด้วยวิธีหักลบยอดสะสมงวดก่อนหน้า (De-cumulation) และสังเคราะห์งบรายปีจากผลรวม 4 ไตรมาส (2) ตัวเลขไตรมาสที่ 4 คำนวณจาก งบรายปีหักด้วยไตรมาสที่ 1–3 (3) มีการตรวจสอบดุลบัญชี (สินทรัพย์รวม = หนี้สินรวม + ส่วนของผู้ถือหุ้น) และกระทบยอดกำไรรวม = ส่วนผู้ถือหุ้นใหญ่ + ส่วนได้เสียที่ไม่มีอำนาจควบคุม ในทุกงวด</w:t>
      </w:r>
    </w:p>
    <w:p>
      <w:pPr>
        <w:pStyle w:val="Heading2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6.3 ตัวแปรที่ใช้ในการวิจัยและการวัดค่า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งานวิจัยนี้ประกอบด้วยตัวแปรตาม 3 ตัว ตัวแปรอิสระ 1 ตัว และตัวแปรควบคุม (รวมตัวแปรควบคุมด้านฤดูกาลและช่วงวิกฤต) โดยมีนิยามเชิงปฏิบัติการและสูตรการวัดค่าดังนี้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6.3.1 ตัวแปรอิสระ (Independent Variable)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การกระจายความเสี่ยงไปต่างประเทศ (DIV):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เนื่องจากกลยุทธ์การกระจายความเสี่ยงเป็นข้อมูลเชิงคุณภาพ ผู้วิจัยแปลงเป็นตัวแปรหุ่น (Dummy Variable) กำหนดค่าเท่ากับ 1 สำหรับกลุ่มที่มีสัดส่วนรายได้ต่างประเทศตั้งแต่ร้อยละ 20 ขึ้นไป และเท่ากับ 0 สำหรับกลุ่มที่ดำเนินธุรกิจเฉพาะในประเทศ (กลุ่มฐาน)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/>
          <w:sz w:val="32"/>
          <w:szCs w:val="32"/>
          <w:bCs/>
        </w:rPr>
        <w:t xml:space="preserve">ข้อสังเกตเชิงระเบียบวิธี: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ตัวแปร DIV เป็นตัวแปรที่ไม่เปลี่ยนแปลงตามเวลา (Time-invariant) เนื่องจากสถานะกลุ่มของแต่ละบริษัทคงที่ตลอด 20 ไตรมาส ซึ่งมีนัยต่อการเลือกแบบจำลอง (ดูหัวข้อ 6.4.4) นอกจากนี้ ผู้วิจัยจะเก็บสัดส่วนรายได้ต่างประเทศแบบต่อเนื่อง (ร้อยละ) ไว้เป็นตัวแปรทางเลือกเพื่อการทดสอบความคงทน (Robustness) ของผลการศึกษาด้วย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6.3.2 ตัวแปรตาม (Dependent Variables)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เนื่องจากข้อมูลเป็นรายไตรมาส ผู้วิจัยคำนวณอัตราส่วนบนฐานรายไตรมาสอย่างสอดคล้องกับงวดของกระแส (Flow) โดยใช้ยอดงบดุลแบบค่าเฉลี่ยต้นงวด–ปลายงวด และจำนวนวันตามปฏิทินจริงของแต่ละไตรมาส (ไตรมาส 1 = 90 วัน, ไตรมาส 2 = 91 วัน, ไตรมาส 3 = 92 วัน, ไตรมาส 4 = 92 วัน) ดังนี้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1) วงจรเงินสด (Cash Conversion Cycle: CCC)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วัดประสิทธิภาพการบริหารเงินทุนหมุนเวียน คำนวณจาก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CCC = DIO + DSO − DPO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โดยตัวชี้วัดย่อยคำนวณบนฐานรายไตรมาส และใช้ยอด “ลูกหนี้การค้าและลูกหนี้อื่น” และ “เจ้าหนี้การค้าและเจ้าหนี้อื่น” ตามที่ปรากฏหน้างบแสดงฐานะการเงิน (Face of Balance Sheet) อย่างสม่ำเสมอทุกบริษัท เพื่อให้เปรียบเทียบข้ามบริษัทได้บนนิยามเดียวกัน (สอดคล้องกรอบ CFA Institute) ดังนี้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DSO = [ ค่าเฉลี่ยลูกหนี้การค้าและอื่น ÷ รายได้ในไตรมาส ] × จำนวนวันในไตรมาส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DIO = [ ค่าเฉลี่ยสินค้าคงเหลือ ÷ ต้นทุนขายในไตรมาส ] × จำนวนวันในไตรมาส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DPO = [ ค่าเฉลี่ยเจ้าหนี้การค้าและอื่น ÷ ต้นทุนขายในไตรมาส ] × จำนวนวันในไตรมาส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/>
          <w:sz w:val="32"/>
          <w:szCs w:val="32"/>
        </w:rPr>
        <w:t xml:space="preserve">โดย ค่าเฉลี่ยยอดงบดุล = (ยอดต้นงวด + ยอดปลายงวด) ÷ 2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ทั้งนี้ แนวคิด CCC อ้างอิงต้นตำรับของ Richards &amp; Laughlin (1980)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2) อัตราผลตอบแทนต่อสินทรัพย์รวม (Return on Assets: ROA)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วัดความสามารถในการทำกำไรจากการใช้สินทรัพย์ คำนวณเป็นค่ารายไตรมาสจาก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ROA = [ กำไรสุทธิรวมของงวด ÷ ค่าเฉลี่ยสินทรัพย์รวม ] × 100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3) อัตราผลตอบแทนต่อส่วนของผู้ถือหุ้น (Return on Equity: ROE)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วัดผลตอบแทนต่อผู้ถือหุ้น คำนวณเป็นค่ารายไตรมาสจาก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ROE = [ กำไรสุทธิรวมของงวด ÷ ค่าเฉลี่ยส่วนของผู้ถือหุ้นรวม ] × 100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หมายเหตุ: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“กำไรสุทธิ” ใช้กำไรสุทธิรวม (Total Net Profit) และตัวหารใช้ยอดเฉลี่ยตามหลัก DuPont / Financial Statement Analysis โดย ROA และ ROE ในสมการหลักเป็นค่ารายไตรมาส (ไม่ปรับเป็นรายปี) เพื่อให้สอดคล้องกับความถี่ของข้อมูลแบบแผง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6.3.3 ตัวแปรควบคุม (Control Variables)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1) ขนาดของกิจการ (Firm Size: SIZE)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วัดจากลอการิทึมธรรมชาติของสินทรัพย์รวม: SIZE = ln(สินทรัพย์รวม)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2) โครงสร้างทางการเงิน (Leverage: LEV)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วัดจากอัตราส่วนหนี้สินรวมต่อส่วนของผู้ถือหุ้น: LEV = หนี้สินรวม ÷ ส่วนของผู้ถือหุ้น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3) ตัวแปรหุ่นฤดูกาล (Seasonal Dummies: Q2, Q3, Q4)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เนื่องจากธุรกิจโรงแรมมีความผันผวนตามฤดูกาลสูงและข้อมูลเป็นรายไตรมาส ผู้วิจัยกำหนดตัวแปรหุ่นไตรมาส Q2, Q3, Q4 (โดยให้ไตรมาสที่ 1 เป็นฐาน) เพื่อควบคุมผลกระทบเชิงฤดูกาล และลดปัญหาสหสัมพันธ์ในตัว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4) ตัวแปรหุ่นช่วงวิกฤตโรคระบาด (COVID)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กำหนดค่าเท่ากับ 1 สำหรับไตรมาสที่ได้รับผลกระทบรุนแรงจากมาตรการควบคุมโรค (พ.ศ. 2564 ถึงต้นปี พ.ศ. 2565) และเท่ากับ 0 สำหรับงวดอื่น เพื่อควบคุมช่วงที่รายได้หดตัวผิดปกติซึ่งทำให้อัตราส่วนที่หารด้วยรายได้ (เช่น NPM, DSO, CCC) มีค่าผิดเพี้ยน และเพื่อรักษาสมมติฐานความแปรปรวนคงที่ของแบบจำลอง</w:t>
      </w:r>
    </w:p>
    <w:p>
      <w:pPr>
        <w:pStyle w:val="Heading2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6.4 การวิเคราะห์ข้อมูล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ผู้วิจัยนำข้อมูล 200 ค่าสังเกตที่ผ่านการรวบรวมและตรวจสอบแล้ว มาประมวลผลด้วยโปรแกรมสำเร็จรูปทางสถิติและเศรษฐมิติ (เช่น STATA, EViews หรือ Python) กำหนดระดับนัยสำคัญทางสถิติที่ 0.05 โดยแบ่งการวิเคราะห์เป็น 5 ขั้นตอน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6.4.1 การวิเคราะห์สถิติเชิงพรรณนา (Descriptive Statistics)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อธิบายลักษณะการกระจายตัวของตัวแปรแต่ละตัว ทั้งภาพรวมและจำแนกตามกลุ่ม ด้วยค่าเฉลี่ย (Mean) ส่วนเบี่ยงเบนมาตรฐาน (S.D.) ค่าสูงสุด (Maximum) และค่าต่ำสุด (Minimum) ตามแนวปฏิบัติมาตรฐานของการวิเคราะห์ข้อมูลทางการเงิน (Deloof, 2003; Lind et al., 2012)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6.4.2 การทดสอบข้อตกลงเบื้องต้นของแบบจำลอง (Assumption Testing)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ก่อนการประมาณค่าสมการถดถอย ผู้วิจัยทดสอบข้อตกลงเบื้องต้นเพื่อให้ผลการประมาณค่ามีความน่าเชื่อถือ ดังนี้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1) ภาวะร่วมเส้นตรงพหุ (Multicollinearity):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ตรวจด้วยค่า Variance Inflation Factor (VIF) ตามเกณฑ์ Hair et al. (2010) โดยค่า VIF ของทุกตัวแปรควรน้อยกว่า 10 ผู้วิจัยจะรายงานค่า VIF และเมทริกซ์สหสัมพันธ์ประกอบ โดยให้ความสำคัญกับความสัมพันธ์ระหว่าง DIV กับ SIZE เป็นพิเศษ เนื่องจากบริษัทที่กระจายความเสี่ยงต่างประเทศมักมีขนาดใหญ่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2) ความแปรปรวนของค่าคลาดเคลื่อนไม่คงที่ (Heteroskedasticity):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ทดสอบด้วย Breusch–Pagan Test (Breusch &amp; Pagan, 1979) หากค่า p-value มากกว่า 0.05 แสดงว่าความแปรปรวนคงที่ (Homoskedasticity) ทั้งนี้ หากพบปัญหาความแปรปรวนไม่คงที่ ผู้วิจัยจะแก้ไขด้วยการประมาณค่าความคลาดเคลื่อนมาตรฐานที่ทนทาน (Robust/Clustered Standard Errors)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3) สหสัมพันธ์ในตัวของข้อมูลแบบแผง (Autocorrelation):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เนื่องจากข้อมูลเป็นแบบแผงที่มีมิติเวลา ผู้วิจัยใช้การทดสอบ Wooldridge Test สำหรับสหสัมพันธ์ในตัวของข้อมูลแบบแผง (Wooldridge, 2010) ซึ่งเหมาะสมกับโครงสร้าง Panel มากกว่าค่า Durbin–Watson ที่ออกแบบสำหรับอนุกรมเวลาชุดเดียว และแก้ไขผลกระทบด้วยการประมาณค่าความคลาดเคลื่อนมาตรฐานแบบคลัสเตอร์ตามบริษัท (Firm-clustered Standard Errors)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6.4.3 การวิเคราะห์สหสัมพันธ์ (Correlation Analysis)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ใช้สัมประสิทธิ์สหสัมพันธ์ของเพียร์สัน (Pearson Correlation Coefficient) เพื่อดูทิศทางและระดับความสัมพันธ์เชิงเส้นระหว่างตัวแปรเป็นรายคู่ ทั้งตัวแปรตาม ตัวแปรอิสระ และตัวแปรควบคุม ค่าสัมประสิทธิ์ (r) มีค่าระหว่าง −1 ถึง 1 โดยใช้ประกอบการพิจารณาภาวะร่วมเส้นตรงพหุด้วย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6.4.4 การเลือกแบบจำลองข้อมูลแบบแผง (Panel Model Selection)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การวิเคราะห์ข้อมูลแบบแผงมีแบบจำลอง 3 รูปแบบ ได้แก่ Pooled OLS, Fixed Effects (FE) และ Random Effects (RE) โดยทั่วไปใช้การทดสอบ Breusch–Pagan LM (เลือกระหว่าง Pooled OLS กับ RE) และ Hausman Test (Hausman, 1978; เลือกระหว่าง FE กับ RE)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/>
          <w:sz w:val="32"/>
          <w:szCs w:val="32"/>
          <w:bCs/>
        </w:rPr>
        <w:t xml:space="preserve">การตัดสินใจเชิงระเบียบวิธีของงานวิจัยนี้: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เนื่องจากตัวแปรอิสระหลัก คือ DIV เป็นตัวแปรที่ไม่เปลี่ยนแปลงตามเวลา (Time-invariant) หากใช้แบบจำลอง Fixed Effects ตัวแปร DIV จะถูกกำจัดออกโดยอัตโนมัติ เพราะซ้อนทับกับผลกระทบเฉพาะบริษัท (Entity Effect) ทำให้ไม่สามารถประเมินและตีความสัมประสิทธิ์ของ DIV ซึ่งเป็นหัวใจของสมมติฐาน H1–H3 ได้ </w:t>
      </w: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ด้วยเหตุนี้ ผู้วิจัยจึงเลือกใช้แบบจำลอง Random Effects (RE) เป็นแบบจำลองหลัก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และรายงานผล Breusch–Pagan LM และ Hausman Test ประกอบเพื่อความครบถ้วน ทั้งนี้ หากผล Hausman ชี้ไปทาง FE ผู้วิจัยจะยังคงใช้ RE พร้อมระบุเหตุผลด้าน Time-invariance ของ DIV อย่างชัดเจน (ทางเลือกขั้นสูงอาจใช้ตัวประมาณค่า Hausman–Taylor ที่ประเมินตัวแปร Time-invariant ได้) การประมาณค่าทั้งหมดใช้ค่าความคลาดเคลื่อนมาตรฐานแบบคลัสเตอร์ตามบริษัท</w:t>
      </w:r>
    </w:p>
    <w:p>
      <w:pPr>
        <w:pStyle w:val="Heading3"/>
        <w:keepNext/>
        <w:spacing w:before="120" w:after="80"/>
      </w:pPr>
      <w:r>
        <w:rPr>
          <w:rFonts w:ascii="TH Sarabun New" w:hAnsi="TH Sarabun New" w:cs="TH Sarabun New"/>
          <w:b/>
          <w:color w:val="1A1A1A"/>
          <w:sz w:val="32"/>
          <w:szCs w:val="32"/>
          <w:bCs/>
        </w:rPr>
        <w:t>6.4.5 การทดสอบสมมติฐานและการวิเคราะห์สมการถดถอย</w:t>
      </w:r>
    </w:p>
    <w:p>
      <w:pPr>
        <w:spacing w:after="12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ส่วนที่ 1 — การเปรียบเทียบค่าเฉลี่ยระหว่างกลุ่ม: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ใช้สถิติทดสอบค่าที (Independent-samples t-test) เปรียบเทียบ CCC, ROA และ ROE ระหว่างสองกลุ่ม โดยดำเนินการบน “ค่าเฉลี่ยระดับบริษัท” (n = 3 เทียบกับ n = 7) ไม่ใช่ระดับค่าสังเกตรายไตรมาส เพื่อหลีกเลี่ยงการละเมิดสมมติฐานความเป็นอิสระของข้อมูล (เนื่องจาก 20 ไตรมาสของบริษัทเดียวกันมีความสัมพันธ์กันเอง) ทั้งนี้การเปรียบเทียบที่คุมตัวแปรอื่นแล้วจะพิจารณาจากสัมประสิทธิ์ DIV ในสมการถดถอยเป็นหลัก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ส่วนที่ 2 — การวิเคราะห์สมการถดถอยพหุคูณสำหรับข้อมูลแบบแผง: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ตามกรอบแนวคิดของ Baltagi (2008) และ Wooldridge (2010) เพื่อทดสอบผลกระทบของการกระจายความเสี่ยงต่อวงจรเงินสดและความสามารถในการทำกำไร โดยควบคุมขนาดกิจการ โครงสร้างทางการเงิน ฤดูกาล และช่วงวิกฤต ดังสมการในหัวข้อ 6.5</w:t>
      </w:r>
    </w:p>
    <w:p>
      <w:pPr>
        <w:pStyle w:val="Heading2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6.5 สมการที่ใช้ในการวิจัย</w:t>
      </w:r>
    </w:p>
    <w:p>
      <w:pPr>
        <w:spacing w:after="120"/>
        <w:ind w:firstLine="720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แบบจำลองถดถอยเชิงพหุคูณสำหรับข้อมูลแบบแผง (Panel Data Regression) แยกตามตัวแปรตาม 3 สมการ ดังนี้</w:t>
      </w:r>
    </w:p>
    <w:p>
      <w:pPr>
        <w:spacing w:after="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สมการที่ 1 — ผลกระทบต่อวงจรเงินสด (CCC):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CCCit = β0 + β1DIVit + β2SIZEit + β3LEVit + β4Q2t + β5Q3t + β6Q4t + β7COVIDit + εit</w:t>
      </w:r>
    </w:p>
    <w:p>
      <w:pPr>
        <w:spacing w:after="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สมการที่ 2 — ผลกระทบต่ออัตราผลตอบแทนต่อสินทรัพย์รวม (ROA):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ROAit = β0 + β1DIVit + β2SIZEit + β3LEVit + β4Q2t + β5Q3t + β6Q4t + β7COVIDit + εit</w:t>
      </w:r>
    </w:p>
    <w:p>
      <w:pPr>
        <w:spacing w:after="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สมการที่ 3 — ผลกระทบต่ออัตราผลตอบแทนต่อส่วนของผู้ถือหุ้น (ROE):</w:t>
      </w:r>
    </w:p>
    <w:p>
      <w:pPr>
        <w:spacing w:before="80" w:after="120"/>
        <w:jc w:val="center"/>
      </w:pPr>
      <w:r>
        <w:rPr>
          <w:rFonts w:ascii="TH Sarabun New" w:hAnsi="TH Sarabun New" w:cs="TH Sarabun New"/>
          <w:b w:val="0"/>
          <w:i/>
          <w:sz w:val="32"/>
          <w:szCs w:val="32"/>
        </w:rPr>
        <w:t>ROEit = β0 + β1DIVit + β2SIZEit + β3LEVit + β4Q2t + β5Q3t + β6Q4t + β7COVIDit + εit</w:t>
      </w:r>
    </w:p>
    <w:p>
      <w:pPr>
        <w:spacing w:after="6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>โดยกำหนดให้: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i = ลำดับบริษัทตัวอย่าง (บริษัทที่ 1 ถึง 10)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t = ระยะเวลารายไตรมาส (ไตรมาสที่ 1 ถึง 20)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β0 = ค่าคงที่ (Intercept); β1–β7 = ค่าสัมประสิทธิ์การถดถอย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DIV = ตัวแปรหุ่นการกระจายความเสี่ยงต่างประเทศ (1 = ต่างประเทศ, 0 = ในประเทศ)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SIZE = ขนาดกิจการ (ln สินทรัพย์รวม); LEV = อัตราส่วนหนี้สินต่อทุน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Q2, Q3, Q4 = ตัวแปรหุ่นฤดูกาล (ไตรมาส 1 เป็นฐาน); COVID = ตัวแปรหุ่นช่วงวิกฤตโรคระบาด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εit = ค่าความคลาดเคลื่อน (ประมาณด้วยค่าความคลาดเคลื่อนมาตรฐานแบบคลัสเตอร์ตามบริษัท)</w:t>
      </w:r>
    </w:p>
    <w:p>
      <w:pPr>
        <w:spacing w:after="160"/>
        <w:ind w:firstLine="720"/>
      </w:pPr>
      <w:r>
        <w:rPr>
          <w:rFonts w:ascii="TH Sarabun New" w:hAnsi="TH Sarabun New" w:cs="TH Sarabun New"/>
          <w:b/>
          <w:i w:val="0"/>
          <w:sz w:val="32"/>
          <w:szCs w:val="32"/>
          <w:bCs/>
        </w:rPr>
        <w:t xml:space="preserve">การทดสอบความคงทน (Robustness Check):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ผู้วิจัยจะประมาณค่าสมการทั้งชุดข้อมูลเต็ม (200 ค่าสังเกต) และชุดที่ตัดช่วงวิกฤตโรคระบาด เพื่อยืนยันว่าผลการศึกษาไม่ได้ถูกครอบงำด้วยค่าผิดปกติในช่วงรายได้หดตัว และจะทดสอบด้วยตัวแปร DIV แบบต่อเนื่อง (สัดส่วนรายได้ต่างประเทศ) เป็นแบบจำลองทางเลือก</w:t>
      </w:r>
    </w:p>
    <w:p>
      <w:pPr>
        <w:pStyle w:val="Heading2"/>
        <w:keepNext/>
        <w:spacing w:before="200" w:after="80"/>
      </w:pPr>
      <w:r>
        <w:rPr>
          <w:rFonts w:ascii="TH Sarabun New" w:hAnsi="TH Sarabun New" w:cs="TH Sarabun New"/>
          <w:b/>
          <w:color w:val="1A1A1A"/>
          <w:sz w:val="36"/>
          <w:szCs w:val="36"/>
          <w:bCs/>
        </w:rPr>
        <w:t>6.6 ข้อจำกัดของงานวิจัย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กลุ่มที่กระจายความเสี่ยงต่างประเทศมีเพียง 3 บริษัท (MINT, SHR, DUSIT) ทำให้สัมประสิทธิ์ DIV ถูกขับเคลื่อนด้วยลักษณะเฉพาะของบริษัทเหล่านี้ และมีอำนาจการทดสอบทางสถิติ (Statistical Power) จำกัด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ข้อมูลเป็นแผงขนาดเล็ก (N = 10, T = 20) คุณสมบัติเชิงเส้นกำกับ (Asymptotic) ของการทดสอบบางตัวจึงมีข้อจำกัด ผู้วิจัยจึงพึ่งพาค่าความคลาดเคลื่อนมาตรฐานแบบคลัสเตอร์เป็นหลัก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ช่วงเวลาศึกษาคร่อมวิกฤตโรคระบาด (COVID-19) ซึ่งเป็นเหตุการณ์พิเศษที่กระทบธุรกิจโรงแรมรุนแรง แม้ควบคุมด้วยตัวแปรหุ่นและการตัดช่วงวิกฤตแล้ว ผลการศึกษาบางส่วนยังอาจสะท้อนภาวะฟื้นตัวเฉพาะช่วง</w:t>
      </w:r>
    </w:p>
    <w:p>
      <w:pPr>
        <w:pStyle w:val="ListBullet"/>
        <w:spacing w:after="60"/>
      </w:pPr>
      <w:r>
        <w:rPr>
          <w:rFonts w:ascii="TH Sarabun New" w:hAnsi="TH Sarabun New" w:cs="TH Sarabun New"/>
          <w:b w:val="0"/>
          <w:sz w:val="32"/>
          <w:szCs w:val="32"/>
        </w:rPr>
        <w:t>การจำแนกกลุ่มด้วยตัวแปรหุ่นอาจไม่สะท้อนระดับการกระจายความเสี่ยงที่แท้จริง ผู้วิจัยจึงเสริมด้วยสัดส่วนรายได้ต่างประเทศแบบต่อเนื่องเป็นการทดสอบความคงทน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 w:cs="TH Sarabun New"/>
      <w:b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