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CoLearn — Registro de decisiones técnicas</w:t>
      </w:r>
    </w:p>
    <w:p>
      <w:r>
        <w:rPr>
          <w:color w:val="6B7280"/>
          <w:sz w:val="20"/>
          <w:szCs w:val="20"/>
        </w:rPr>
        <w:t xml:space="preserve">Trabajo Integrador Final · Universidad de Mendoza</w:t>
      </w:r>
    </w:p>
    <w:p>
      <w:pPr>
        <w:spacing w:after="200" w:before="160"/>
      </w:pPr>
      <w:r>
        <w:rPr>
          <w:sz w:val="20"/>
          <w:szCs w:val="20"/>
        </w:rPr>
        <w:t xml:space="preserve">Qué se decidió, por qué, y qué problema habríamos tenido sin esa decisión. Las referencias completas están al final.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560"/>
        <w:gridCol w:w="1600"/>
      </w:tblGrid>
      <w:tr>
        <w:trPr>
          <w:tblHeader/>
        </w:trP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qué — qué evitamos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Referencia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RAG con embeddings + FAISS (chunking con solapamiento)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IA responde solo a partir del texto subido. Sin esto, inventa información que no está en el material (alucina), y al cortar los fragmentos sin solapamiento se pierde contexto en los bordes.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Lewis et al. (2020)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en 3 niveles de la Taxonomía de Bloom (fácil/medio/difícil)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Las preguntas escalan en complejidad cognitiva. Sin esto serían todas del mismo tipo y no medirían distintos niveles de comprensión.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Bloom (1956)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Portón de dominio: reintento con pista antes de avanzar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Una respuesta incorrecta no pasa de largo: el alumno recibe una pista y una segunda oportunidad. Sin esto, equivocarse una vez cerraba la pregunta sin posibilidad de aprender.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Mastery Learning — Bloom (1968)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 del reintento guardado en la base de datos (columna attempts)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Antes el estado se deducía leyendo el texto del mensaje, lo cual era frágil: cambiar una palabra rompía el flujo. Ahora el estado es explícito y confiable.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Clasificación de intención por IA (respuesta / pedido de ayuda / fuera de tema)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Una lista de palabras clave nunca cubre todas las formas de pedir ayuda. Sin esto, pedir una pista o irse de tema se contaban como respuesta y ensuciaban las métricas.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Modelo gpt-4o-mini, centralizado en config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Sigue instrucciones mejor que gpt-3.5 y es más barato. Sin esto, el modelo ignoraba reglas sutiles (tono, clasificación). Centralizado para poder cambiarlo en un solo lugar.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OpenRouter; pruebas propias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Dificultad de la pregunta oculta al alumno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 el alumno ve que una pregunta es difícil, se predispone negativamente. La dificultad se usa solo internamente (métricas y orden adaptativo).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pedagógica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Capeo del puntaje (incorrecto ≤3, parcial 4-6, correcto ≥7)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Mantiene coherencia entre la categoría y el número. Sin esto, el promedio podía contradecir la evaluación (p. ej. un 7 para una respuesta marcada incorrecta).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Puntaje por nivel de dificultad, no una tendencia temporal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tendencia mezclaba dificultad y tiempo: que un alumno bajara podía significar solo que la pregunta difícil era difícil, no que estuviera empeorando. El desglose por nivel es honesto.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Siemens &amp; Long (2011)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Tono del tutor en singular (uno-a-uno)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app es una conversación personal con un alumno. Hablar en plural (“chicos”) rompe la sensación de tutoría individualizada.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diseño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Resumen del docente con caché por huella de los datos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 genera automáticamente, pero solo se regenera si hay respuestas nuevas o cambió un puntaje. Sin caché, cada visita a la pantalla gastaría una llamada (lenta y costosa) a la IA.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 agregar un segundo agente evaluador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Dos modelos iguales no son independientes: su “acuerdo” estaría inflado y no probaría confiabilidad. El patrón de oro para validar un evaluador automático es una muestra calificada por un humano.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Validez de medición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Creación de clase atómica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El procesamiento RAG y la generación de preguntas ocurren antes de guardar la clase. Si algo falla, no queda una clase vacía y sin contenido en la base de datos.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Llamada a la IA centralizada (core/llm.py)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Antes estaba duplicada en tres archivos. Centralizarla evita que el modelo y los parámetros queden desincronizados entre las distintas funciones.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Dos estados: evaluativo (sumativo) y de aprendizaje (formativo)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Separa lo que califica de la práctica sin riesgo. El autodesafío sin nota mejora la retención y baja la ansiedad, siempre que el alumno sepa que no se lo está evaluando.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Black &amp; Wiliam (1998); Roediger &amp; Karpicke (2006)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Robustez operativa: IP autodetectada y migraciones idempotentes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La IP del backend se deriva de Expo para no editarla a mano en cada cambio de red. Las migraciones agregan columnas sin romper bases ya creadas.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55555"/>
                <w:sz w:val="18"/>
                <w:szCs w:val="18"/>
              </w:rPr>
              <w:t xml:space="preserve">Decisión de ingeniería</w:t>
            </w:r>
          </w:p>
        </w:tc>
      </w:tr>
    </w:tbl>
    <w:p>
      <w:pPr>
        <w:pStyle w:val="Heading2"/>
      </w:pPr>
      <w:r>
        <w:t xml:space="preserve">Referencias</w:t>
      </w:r>
    </w:p>
    <w:p>
      <w:pPr>
        <w:spacing w:after="80"/>
      </w:pPr>
      <w:r>
        <w:rPr>
          <w:sz w:val="19"/>
          <w:szCs w:val="19"/>
        </w:rPr>
        <w:t xml:space="preserve">Black, P., &amp; Wiliam, D. (1998). Assessment and Classroom Learning. Assessment in Education, 5(1), 7–74.</w:t>
      </w:r>
    </w:p>
    <w:p>
      <w:pPr>
        <w:spacing w:after="80"/>
      </w:pPr>
      <w:r>
        <w:rPr>
          <w:sz w:val="19"/>
          <w:szCs w:val="19"/>
        </w:rPr>
        <w:t xml:space="preserve">Bloom, B. S. (1956). Taxonomy of Educational Objectives: The Classification of Educational Goals. Longmans.</w:t>
      </w:r>
    </w:p>
    <w:p>
      <w:pPr>
        <w:spacing w:after="80"/>
      </w:pPr>
      <w:r>
        <w:rPr>
          <w:sz w:val="19"/>
          <w:szCs w:val="19"/>
        </w:rPr>
        <w:t xml:space="preserve">Bloom, B. S. (1968). Learning for Mastery. Evaluation Comment, 1(2).</w:t>
      </w:r>
    </w:p>
    <w:p>
      <w:pPr>
        <w:spacing w:after="80"/>
      </w:pPr>
      <w:r>
        <w:rPr>
          <w:sz w:val="19"/>
          <w:szCs w:val="19"/>
        </w:rPr>
        <w:t xml:space="preserve">Lewis, P., et al. (2020). Retrieval-Augmented Generation for Knowledge-Intensive NLP Tasks. NeurIPS.</w:t>
      </w:r>
    </w:p>
    <w:p>
      <w:pPr>
        <w:spacing w:after="80"/>
      </w:pPr>
      <w:r>
        <w:rPr>
          <w:sz w:val="19"/>
          <w:szCs w:val="19"/>
        </w:rPr>
        <w:t xml:space="preserve">Roediger, H. L., &amp; Karpicke, J. D. (2006). Test-Enhanced Learning. Psychological Science, 17(3), 249–255.</w:t>
      </w:r>
    </w:p>
    <w:p>
      <w:pPr>
        <w:spacing w:after="80"/>
      </w:pPr>
      <w:r>
        <w:rPr>
          <w:sz w:val="19"/>
          <w:szCs w:val="19"/>
        </w:rPr>
        <w:t xml:space="preserve">Siemens, G., &amp; Long, P. (2011). Penetrating the Fog: Analytics in Learning and Education. EDUCAUSE Review, 46(5).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2026-06-12T03:45:32.971Z</dcterms:created>
  <dcterms:modified xsi:type="dcterms:W3CDTF">2026-06-12T03:45:32.972Z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