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proofErr w:type="spellStart"/>
      <w:r w:rsidRPr="0042738E">
        <w:rPr>
          <w:rFonts w:ascii="Times New Roman" w:hAnsi="Times New Roman" w:cs="Times New Roman"/>
          <w:b/>
          <w:bCs w:val="0"/>
        </w:rPr>
        <w:t>Inteligencia</w:t>
      </w:r>
      <w:proofErr w:type="spellEnd"/>
      <w:r w:rsidRPr="0042738E">
        <w:rPr>
          <w:rFonts w:ascii="Times New Roman" w:hAnsi="Times New Roman" w:cs="Times New Roman"/>
          <w:b/>
          <w:bCs w:val="0"/>
        </w:rPr>
        <w:t xml:space="preserve"> Artificial;</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t>INTRODUÇÃO</w:t>
      </w:r>
    </w:p>
    <w:p w14:paraId="30D925F0" w14:textId="02FEC823"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 xml:space="preserve">Criada em 2018 e entrado em vigor em 2021, a Lei Geral de Proteção de Dados 13.709/2018 (abreviando como LGPD) possui o objetivo de garantir os direitos de privacidade e proteção de dados sensíveis de usuários e o livre desenvolvimento da personalidade pessoal natural – a lei </w:t>
      </w:r>
      <w:r>
        <w:rPr>
          <w:rFonts w:ascii="Times New Roman" w:hAnsi="Times New Roman" w:cs="Times New Roman"/>
        </w:rPr>
        <w:lastRenderedPageBreak/>
        <w:t>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lastRenderedPageBreak/>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proofErr w:type="spellStart"/>
      <w:r w:rsidR="00025DF6">
        <w:rPr>
          <w:rFonts w:ascii="Times New Roman" w:hAnsi="Times New Roman" w:cs="Times New Roman"/>
        </w:rPr>
        <w:t>foi</w:t>
      </w:r>
      <w:proofErr w:type="spellEnd"/>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4FE1E15F"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w:t>
      </w:r>
      <w:proofErr w:type="spellStart"/>
      <w:r w:rsidRPr="00525C39">
        <w:rPr>
          <w:i w:val="0"/>
          <w:iCs w:val="0"/>
          <w:color w:val="auto"/>
          <w:sz w:val="20"/>
          <w:szCs w:val="20"/>
        </w:rPr>
        <w:t>NumPy</w:t>
      </w:r>
      <w:proofErr w:type="spellEnd"/>
      <w:r w:rsidRPr="00525C39">
        <w:rPr>
          <w:i w:val="0"/>
          <w:iCs w:val="0"/>
          <w:color w:val="auto"/>
          <w:sz w:val="20"/>
          <w:szCs w:val="20"/>
        </w:rPr>
        <w:t>.</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7767141D" w14:textId="50E90E88" w:rsidR="00025DF6" w:rsidRPr="00C236D8" w:rsidRDefault="00C236D8" w:rsidP="00025DF6">
      <w:pPr>
        <w:ind w:firstLine="284"/>
        <w:rPr>
          <w:rFonts w:ascii="Times New Roman" w:hAnsi="Times New Roman" w:cs="Times New Roman"/>
        </w:rPr>
      </w:pPr>
      <w:bookmarkStart w:id="2" w:name="_Toc112598869"/>
      <w:r w:rsidRPr="00C236D8">
        <w:rPr>
          <w:rFonts w:ascii="Times New Roman" w:hAnsi="Times New Roman" w:cs="Times New Roman"/>
        </w:rPr>
        <w:t xml:space="preserve">Pandas permite o cientista poder manipular os dados </w:t>
      </w:r>
      <w:r w:rsidR="00025DF6">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69FB2256" w14:textId="7182908F"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394D6A7D" w14:textId="68AAB61B" w:rsidR="002E380C" w:rsidRPr="00C71C64" w:rsidRDefault="00257807" w:rsidP="00257807">
      <w:pPr>
        <w:ind w:firstLine="284"/>
        <w:rPr>
          <w:rFonts w:ascii="Times New Roman" w:hAnsi="Times New Roman" w:cs="Times New Roman"/>
        </w:rPr>
      </w:pPr>
      <w:proofErr w:type="spellStart"/>
      <w:r w:rsidRPr="00074AA3">
        <w:rPr>
          <w:rFonts w:ascii="Times New Roman" w:hAnsi="Times New Roman" w:cs="Times New Roman"/>
        </w:rPr>
        <w:lastRenderedPageBreak/>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393D8E5D" w14:textId="62F3B625"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441C809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957490">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nome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957490">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Pr="00CE4B26">
              <w:rPr>
                <w:rFonts w:ascii="Times New Roman" w:hAnsi="Times New Roman" w:cs="Times New Roman"/>
                <w:i/>
                <w:iCs/>
              </w:rPr>
              <w:t xml:space="preserve">criação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957490">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957490">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957490">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957490">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957490">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957490">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r>
              <w:rPr>
                <w:rFonts w:ascii="Times New Roman" w:hAnsi="Times New Roman" w:cs="Times New Roman"/>
                <w:i/>
                <w:iCs/>
              </w:rPr>
              <w:t>csv</w:t>
            </w:r>
            <w:proofErr w:type="spell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957490">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proofErr w:type="spellEnd"/>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957490">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957490">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proofErr w:type="spellEnd"/>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957490">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957490">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957490">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957490">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957490">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957490">
            <w:pPr>
              <w:spacing w:line="360" w:lineRule="auto"/>
              <w:rPr>
                <w:rFonts w:ascii="Times New Roman" w:hAnsi="Times New Roman" w:cs="Times New Roman"/>
                <w:i/>
                <w:iCs/>
              </w:rPr>
            </w:pPr>
            <w:proofErr w:type="spellStart"/>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proofErr w:type="spellEnd"/>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957490">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957490">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957490">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957490">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957490">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957490">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957490">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957490">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957490">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957490">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957490">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é possível gerar dados baseados no Brasil utilizando um total de 4 colunas, sendo a </w:t>
      </w:r>
      <w:r>
        <w:rPr>
          <w:rFonts w:ascii="Times New Roman" w:eastAsia="Times New Roman" w:hAnsi="Times New Roman" w:cs="Times New Roman"/>
        </w:rPr>
        <w:lastRenderedPageBreak/>
        <w:t>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-notebook, seguindo o tutorial da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p>
    <w:p w14:paraId="3FA6C00D"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letras, palavras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7B228836"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2201956A" w14:textId="540F0087" w:rsidR="000302B9" w:rsidRDefault="000302B9" w:rsidP="000302B9">
      <w:pPr>
        <w:ind w:firstLine="284"/>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Pseudo</w:t>
      </w:r>
      <w:proofErr w:type="spellEnd"/>
      <w:r>
        <w:rPr>
          <w:rFonts w:ascii="Times New Roman" w:hAnsi="Times New Roman" w:cs="Times New Roman"/>
        </w:rPr>
        <w:t xml:space="preserve"> código de como funciona as funções gráficas]</w:t>
      </w:r>
    </w:p>
    <w:p w14:paraId="7184B8AF" w14:textId="5DC91252" w:rsidR="000302B9" w:rsidRDefault="000302B9" w:rsidP="005009AD">
      <w:pPr>
        <w:rPr>
          <w:rFonts w:ascii="Times New Roman" w:hAnsi="Times New Roman" w:cs="Times New Roman"/>
        </w:rPr>
      </w:pPr>
    </w:p>
    <w:p w14:paraId="457CEAEB" w14:textId="6D225D2B"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F34F33">
            <w:pPr>
              <w:pStyle w:val="Ttulo1"/>
              <w:jc w:val="left"/>
              <w:rPr>
                <w:rFonts w:cs="Times New Roman"/>
              </w:rPr>
            </w:pPr>
            <w:proofErr w:type="spellStart"/>
            <w:r>
              <w:rPr>
                <w:rFonts w:cs="Times New Roman"/>
              </w:rPr>
              <w:t>Algorítimo</w:t>
            </w:r>
            <w:proofErr w:type="spellEnd"/>
            <w:r>
              <w:rPr>
                <w:rFonts w:cs="Times New Roman"/>
              </w:rPr>
              <w:t xml:space="preserve"> n: </w:t>
            </w:r>
            <w:proofErr w:type="spellStart"/>
            <w:r>
              <w:rPr>
                <w:rFonts w:cs="Times New Roman"/>
              </w:rPr>
              <w:t>Pseudo-Código</w:t>
            </w:r>
            <w:proofErr w:type="spellEnd"/>
            <w:r>
              <w:rPr>
                <w:rFonts w:cs="Times New Roman"/>
              </w:rPr>
              <w:t xml:space="preserve"> Genérico</w:t>
            </w:r>
          </w:p>
        </w:tc>
      </w:tr>
      <w:tr w:rsidR="00C7224F" w14:paraId="7A3B1729" w14:textId="77777777" w:rsidTr="00F34F33">
        <w:trPr>
          <w:trHeight w:val="341"/>
        </w:trPr>
        <w:tc>
          <w:tcPr>
            <w:tcW w:w="704" w:type="dxa"/>
          </w:tcPr>
          <w:p w14:paraId="024DAC35" w14:textId="77777777" w:rsidR="00C7224F" w:rsidRPr="00F57249" w:rsidRDefault="00C7224F" w:rsidP="00F34F33">
            <w:pPr>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F34F33">
            <w:pPr>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 xml:space="preserve">K. Pavani and P. </w:t>
      </w:r>
      <w:proofErr w:type="spellStart"/>
      <w:r w:rsidR="003B7671" w:rsidRPr="00B513B1">
        <w:rPr>
          <w:rFonts w:ascii="Times New Roman" w:hAnsi="Times New Roman" w:cs="Times New Roman"/>
          <w:sz w:val="22"/>
          <w:szCs w:val="22"/>
          <w:lang w:val="en-US"/>
        </w:rPr>
        <w:t>Sriramya</w:t>
      </w:r>
      <w:proofErr w:type="spellEnd"/>
      <w:r w:rsidR="003B7671" w:rsidRPr="00B513B1">
        <w:rPr>
          <w:rFonts w:ascii="Times New Roman" w:hAnsi="Times New Roman" w:cs="Times New Roman"/>
          <w:sz w:val="22"/>
          <w:szCs w:val="22"/>
          <w:lang w:val="en-US"/>
        </w:rPr>
        <w:t xml:space="preserve">, "Enhancing Public Key Cryptography using RSA, RSA-CRT and N-Prime RSA with Multiple Keys,"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0D06" w14:textId="77777777" w:rsidR="00BE13BE" w:rsidRDefault="00BE13BE" w:rsidP="0015272A">
      <w:pPr>
        <w:spacing w:line="240" w:lineRule="auto"/>
      </w:pPr>
      <w:r>
        <w:separator/>
      </w:r>
    </w:p>
  </w:endnote>
  <w:endnote w:type="continuationSeparator" w:id="0">
    <w:p w14:paraId="7A71158B" w14:textId="77777777" w:rsidR="00BE13BE" w:rsidRDefault="00BE13BE"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1836" w14:textId="77777777" w:rsidR="00BE13BE" w:rsidRDefault="00BE13BE" w:rsidP="0015272A">
      <w:pPr>
        <w:spacing w:line="240" w:lineRule="auto"/>
      </w:pPr>
      <w:r>
        <w:separator/>
      </w:r>
    </w:p>
  </w:footnote>
  <w:footnote w:type="continuationSeparator" w:id="0">
    <w:p w14:paraId="373FA40E" w14:textId="77777777" w:rsidR="00BE13BE" w:rsidRDefault="00BE13BE"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2C81"/>
    <w:rsid w:val="000365C0"/>
    <w:rsid w:val="00037935"/>
    <w:rsid w:val="00047F28"/>
    <w:rsid w:val="00054DEA"/>
    <w:rsid w:val="00060C19"/>
    <w:rsid w:val="00070BD2"/>
    <w:rsid w:val="00074AA3"/>
    <w:rsid w:val="000777F7"/>
    <w:rsid w:val="0009088D"/>
    <w:rsid w:val="000A77AD"/>
    <w:rsid w:val="000B35AB"/>
    <w:rsid w:val="000D1DFC"/>
    <w:rsid w:val="000D386C"/>
    <w:rsid w:val="000E11E5"/>
    <w:rsid w:val="000E16CE"/>
    <w:rsid w:val="00102544"/>
    <w:rsid w:val="00117651"/>
    <w:rsid w:val="00147069"/>
    <w:rsid w:val="0015272A"/>
    <w:rsid w:val="00156198"/>
    <w:rsid w:val="0015680D"/>
    <w:rsid w:val="00160E02"/>
    <w:rsid w:val="00161C20"/>
    <w:rsid w:val="00165F3F"/>
    <w:rsid w:val="00185DCF"/>
    <w:rsid w:val="00190CC5"/>
    <w:rsid w:val="00195C87"/>
    <w:rsid w:val="001A536A"/>
    <w:rsid w:val="001B7258"/>
    <w:rsid w:val="001C7C21"/>
    <w:rsid w:val="001D04B7"/>
    <w:rsid w:val="001D248D"/>
    <w:rsid w:val="001E0A4D"/>
    <w:rsid w:val="001E386A"/>
    <w:rsid w:val="001E5E32"/>
    <w:rsid w:val="00215C55"/>
    <w:rsid w:val="00224881"/>
    <w:rsid w:val="00236035"/>
    <w:rsid w:val="00237564"/>
    <w:rsid w:val="00240758"/>
    <w:rsid w:val="00243AE1"/>
    <w:rsid w:val="00257807"/>
    <w:rsid w:val="00264BDD"/>
    <w:rsid w:val="00265D0B"/>
    <w:rsid w:val="00271AF2"/>
    <w:rsid w:val="0027256F"/>
    <w:rsid w:val="00282F6F"/>
    <w:rsid w:val="00287E38"/>
    <w:rsid w:val="002954B0"/>
    <w:rsid w:val="002A0A47"/>
    <w:rsid w:val="002A2AF7"/>
    <w:rsid w:val="002C3DA4"/>
    <w:rsid w:val="002D428D"/>
    <w:rsid w:val="002D66B6"/>
    <w:rsid w:val="002E055D"/>
    <w:rsid w:val="002E380C"/>
    <w:rsid w:val="00301AE2"/>
    <w:rsid w:val="0030618A"/>
    <w:rsid w:val="00310800"/>
    <w:rsid w:val="00335A3B"/>
    <w:rsid w:val="00337928"/>
    <w:rsid w:val="003434C2"/>
    <w:rsid w:val="003561ED"/>
    <w:rsid w:val="003708D0"/>
    <w:rsid w:val="003749DE"/>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76C4E"/>
    <w:rsid w:val="004813B2"/>
    <w:rsid w:val="00483DA4"/>
    <w:rsid w:val="004C479B"/>
    <w:rsid w:val="004D63CB"/>
    <w:rsid w:val="004E0A46"/>
    <w:rsid w:val="004F48FC"/>
    <w:rsid w:val="004F5334"/>
    <w:rsid w:val="005009AD"/>
    <w:rsid w:val="005021A5"/>
    <w:rsid w:val="005029AC"/>
    <w:rsid w:val="00502A46"/>
    <w:rsid w:val="0050387C"/>
    <w:rsid w:val="005229CF"/>
    <w:rsid w:val="00525C39"/>
    <w:rsid w:val="00525FD2"/>
    <w:rsid w:val="005354FD"/>
    <w:rsid w:val="00537D58"/>
    <w:rsid w:val="00537DB8"/>
    <w:rsid w:val="005409DB"/>
    <w:rsid w:val="00554516"/>
    <w:rsid w:val="005655C4"/>
    <w:rsid w:val="00566810"/>
    <w:rsid w:val="00577EB1"/>
    <w:rsid w:val="005819EE"/>
    <w:rsid w:val="00583DDA"/>
    <w:rsid w:val="005842A4"/>
    <w:rsid w:val="00594962"/>
    <w:rsid w:val="00596C81"/>
    <w:rsid w:val="005B16E6"/>
    <w:rsid w:val="005B2314"/>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30238"/>
    <w:rsid w:val="00730ED1"/>
    <w:rsid w:val="007349BF"/>
    <w:rsid w:val="00736164"/>
    <w:rsid w:val="00747858"/>
    <w:rsid w:val="0078303A"/>
    <w:rsid w:val="007877CC"/>
    <w:rsid w:val="007A2499"/>
    <w:rsid w:val="007A59AC"/>
    <w:rsid w:val="007D0D9B"/>
    <w:rsid w:val="007D2432"/>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A17A4"/>
    <w:rsid w:val="009A5F62"/>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2275"/>
    <w:rsid w:val="00B62841"/>
    <w:rsid w:val="00B64463"/>
    <w:rsid w:val="00B8048E"/>
    <w:rsid w:val="00B93460"/>
    <w:rsid w:val="00BC22C6"/>
    <w:rsid w:val="00BC71C6"/>
    <w:rsid w:val="00BD2361"/>
    <w:rsid w:val="00BD3955"/>
    <w:rsid w:val="00BD50A7"/>
    <w:rsid w:val="00BE051A"/>
    <w:rsid w:val="00BE13BE"/>
    <w:rsid w:val="00BF6334"/>
    <w:rsid w:val="00C075DD"/>
    <w:rsid w:val="00C07EE0"/>
    <w:rsid w:val="00C1025F"/>
    <w:rsid w:val="00C236D8"/>
    <w:rsid w:val="00C24666"/>
    <w:rsid w:val="00C46BF5"/>
    <w:rsid w:val="00C61EB4"/>
    <w:rsid w:val="00C71C64"/>
    <w:rsid w:val="00C7224F"/>
    <w:rsid w:val="00C74887"/>
    <w:rsid w:val="00C74D30"/>
    <w:rsid w:val="00C81BCB"/>
    <w:rsid w:val="00C84679"/>
    <w:rsid w:val="00CA33DD"/>
    <w:rsid w:val="00CB5984"/>
    <w:rsid w:val="00CB6F29"/>
    <w:rsid w:val="00CC5CAC"/>
    <w:rsid w:val="00CE41B9"/>
    <w:rsid w:val="00CE4B26"/>
    <w:rsid w:val="00CE59CE"/>
    <w:rsid w:val="00CF1606"/>
    <w:rsid w:val="00CF17AE"/>
    <w:rsid w:val="00D13A36"/>
    <w:rsid w:val="00D1594F"/>
    <w:rsid w:val="00D33946"/>
    <w:rsid w:val="00D42B4D"/>
    <w:rsid w:val="00D4385D"/>
    <w:rsid w:val="00D43F7F"/>
    <w:rsid w:val="00D516D7"/>
    <w:rsid w:val="00D536DC"/>
    <w:rsid w:val="00D5399B"/>
    <w:rsid w:val="00D61816"/>
    <w:rsid w:val="00D71A63"/>
    <w:rsid w:val="00D7430C"/>
    <w:rsid w:val="00D7473F"/>
    <w:rsid w:val="00D74AD6"/>
    <w:rsid w:val="00D81428"/>
    <w:rsid w:val="00D943D3"/>
    <w:rsid w:val="00DB6DE2"/>
    <w:rsid w:val="00DD0438"/>
    <w:rsid w:val="00DD0997"/>
    <w:rsid w:val="00DD3C5C"/>
    <w:rsid w:val="00DE341C"/>
    <w:rsid w:val="00E36C5D"/>
    <w:rsid w:val="00E416EB"/>
    <w:rsid w:val="00E6248C"/>
    <w:rsid w:val="00E66585"/>
    <w:rsid w:val="00E964B4"/>
    <w:rsid w:val="00EB7B29"/>
    <w:rsid w:val="00EC09F6"/>
    <w:rsid w:val="00EC587F"/>
    <w:rsid w:val="00EC60B3"/>
    <w:rsid w:val="00EE7110"/>
    <w:rsid w:val="00F17816"/>
    <w:rsid w:val="00F2634C"/>
    <w:rsid w:val="00F30F83"/>
    <w:rsid w:val="00F55409"/>
    <w:rsid w:val="00F57249"/>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14</Pages>
  <Words>4272</Words>
  <Characters>23074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98</cp:revision>
  <cp:lastPrinted>2023-04-25T17:12:00Z</cp:lastPrinted>
  <dcterms:created xsi:type="dcterms:W3CDTF">2023-03-26T18:40:00Z</dcterms:created>
  <dcterms:modified xsi:type="dcterms:W3CDTF">2023-04-25T17:19:00Z</dcterms:modified>
</cp:coreProperties>
</file>