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2B98" w14:textId="77777777" w:rsidR="00224194" w:rsidRDefault="00B04F81">
      <w:pPr>
        <w:pStyle w:val="Titolo"/>
      </w:pPr>
      <w:r>
        <w:t>Facilitator guide</w:t>
      </w:r>
    </w:p>
    <w:p w14:paraId="1C652AEE" w14:textId="77777777" w:rsidR="00224194" w:rsidRDefault="00B04F81">
      <w:r>
        <w:t>Document L04 · Dossier 2.5.0-g2 · 26 September 2026. Application 2.5.0; model V2-2.3.0. Audience: teachers and facilitators. Language: British English. Intended destination: public educator supplement, kept separate from the player guide. Formats: Markdown, PDF and DOCX. Author: G2 teaching/manuals specialist; independent review is recorded in the dossier inventory.</w:t>
      </w:r>
    </w:p>
    <w:p w14:paraId="702CB597" w14:textId="77777777" w:rsidR="00224194" w:rsidRDefault="00B04F81">
      <w:pPr>
        <w:pStyle w:val="Titolo1"/>
      </w:pPr>
      <w:r>
        <w:t>Teaching purpose and boundary</w:t>
      </w:r>
    </w:p>
    <w:p w14:paraId="7E3F467B" w14:textId="77777777" w:rsidR="00224194" w:rsidRDefault="00B04F81">
      <w:r>
        <w:t>Use The Heat to Come to support reasoned discussion of adaptation under uncertainty, staged resources and delivery constraints. Ask learners to justify choices, interpret consequences and identify model limitations. The result is not a grade or a campus risk assessment.</w:t>
      </w:r>
    </w:p>
    <w:p w14:paraId="5C7FDAC9" w14:textId="77777777" w:rsidR="00224194" w:rsidRDefault="00B04F81">
      <w:r>
        <w:t>All session structures and assessment prompts below are teaching proposals. They are not evidence of classroom effectiveness, human comprehension or a validated educational intervention. The current software has technical qualification in G1; learning gains and physical-device usability remain separate questions.</w:t>
      </w:r>
    </w:p>
    <w:p w14:paraId="2FF945D6" w14:textId="77777777" w:rsidR="00224194" w:rsidRDefault="00B04F81">
      <w:pPr>
        <w:pStyle w:val="Titolo1"/>
      </w:pPr>
      <w:r>
        <w:t>Prepare the session</w:t>
      </w:r>
    </w:p>
    <w:p w14:paraId="08F8DD0A" w14:textId="77777777" w:rsidR="00224194" w:rsidRDefault="00B04F81">
      <w:pPr>
        <w:pStyle w:val="Numeroelenco"/>
      </w:pPr>
      <w:r>
        <w:t>Select the learning objective: for example, sequencing, resource scarcity, interpreting event effects or comparing strategies. Read the player guide and the current scenario reference; do not use V1 payoff tables as current instructions.</w:t>
      </w:r>
    </w:p>
    <w:p w14:paraId="4E44883F" w14:textId="77777777" w:rsidR="00224194" w:rsidRDefault="00B04F81">
      <w:pPr>
        <w:pStyle w:val="Numeroelenco"/>
      </w:pPr>
      <w:r>
        <w:t>Provide the same qualified 2.5.0 build to participants. Test the actual local setup, browser, display and download location before the class. Package launch instructions will accompany the distribution; G2 itself does not establish a published site or a newly qualified Windows package.</w:t>
      </w:r>
    </w:p>
    <w:p w14:paraId="362BBAE5" w14:textId="77777777" w:rsidR="00224194" w:rsidRDefault="00B04F81">
      <w:pPr>
        <w:pStyle w:val="Numeroelenco"/>
      </w:pPr>
      <w:r>
        <w:t>Decide whether groups use the same scenario for comparison or different scenarios for contrast. Do not compare raw scores across campuses as if starting conditions and scoring priorities were identical.</w:t>
      </w:r>
    </w:p>
    <w:p w14:paraId="46ADAD25" w14:textId="77777777" w:rsidR="00224194" w:rsidRDefault="00B04F81">
      <w:pPr>
        <w:pStyle w:val="Numeroelenco"/>
      </w:pPr>
      <w:r>
        <w:t xml:space="preserve">For reproducible work, select a campus, open </w:t>
      </w:r>
      <w:r>
        <w:rPr>
          <w:b/>
        </w:rPr>
        <w:t>Advanced settings</w:t>
      </w:r>
      <w:r>
        <w:t xml:space="preserve">, enter a </w:t>
      </w:r>
      <w:r>
        <w:rPr>
          <w:b/>
        </w:rPr>
        <w:t>Deterministic run seed</w:t>
      </w:r>
      <w:r>
        <w:t xml:space="preserve">, and select </w:t>
      </w:r>
      <w:r>
        <w:rPr>
          <w:b/>
        </w:rPr>
        <w:t>Use this seed for the selected campus</w:t>
      </w:r>
      <w:r>
        <w:t xml:space="preserve"> before joining the Task Force. The accepted format is 1-64 letters, numbers, hyphens or underscores. A synthetic seed such as </w:t>
      </w:r>
      <w:r>
        <w:rPr>
          <w:rFonts w:ascii="Consolas" w:hAnsi="Consolas"/>
          <w:sz w:val="18"/>
        </w:rPr>
        <w:t>class-demo-01</w:t>
      </w:r>
      <w:r>
        <w:t xml:space="preserve"> is suitable; it is an example, not a privileged event path.</w:t>
      </w:r>
    </w:p>
    <w:p w14:paraId="0FD84900" w14:textId="77777777" w:rsidR="00224194" w:rsidRDefault="00B04F81">
      <w:pPr>
        <w:pStyle w:val="Numeroelenco"/>
      </w:pPr>
      <w:r>
        <w:t>Explain local saving, export and the absence of automatic cross-device synchronisation. Decide how exports will be collected and kept without adding personal identifiers to file names or seeds.</w:t>
      </w:r>
    </w:p>
    <w:p w14:paraId="77752F55" w14:textId="77777777" w:rsidR="00224194" w:rsidRDefault="00B04F81">
      <w:pPr>
        <w:pStyle w:val="Numeroelenco"/>
      </w:pPr>
      <w:r>
        <w:t>Offer individual or shared-screen participation, sound-off play and time to use text/map alternatives. Check needs with the actual learners rather than treating automated accessibility results as certification.</w:t>
      </w:r>
    </w:p>
    <w:p w14:paraId="65A5C1C5" w14:textId="77777777" w:rsidR="00224194" w:rsidRDefault="00B04F81">
      <w:r>
        <w:t>The current interface exposes seed control, run exchange, archive comparison and optional local playtest trace. Do not instruct users to look for a dedicated session-name field, challenge/explore switch, enforced reflection form or teacher dashboard inherited from V1 documentation: these are not the controls described by the current experience.</w:t>
      </w:r>
    </w:p>
    <w:p w14:paraId="23078001" w14:textId="77777777" w:rsidR="00224194" w:rsidRDefault="00B04F81">
      <w:pPr>
        <w:pStyle w:val="Titolo1"/>
      </w:pPr>
      <w:r>
        <w:t>Suggested session structure</w:t>
      </w:r>
    </w:p>
    <w:p w14:paraId="71C66D3E" w14:textId="77777777" w:rsidR="00224194" w:rsidRDefault="00B04F81">
      <w:r>
        <w:t>Choose a duration appropriate to your group; no measured completion time is claimed. A useful sequence is orientation, three planning-and-event rounds, debrief and a focused replay. Allow time for discussion after events instead of requiring rapid completion.</w:t>
      </w:r>
    </w:p>
    <w:p w14:paraId="6459DD48" w14:textId="77777777" w:rsidR="00224194" w:rsidRDefault="00B04F81">
      <w:r>
        <w:t>Before play, ask participants to state the campus problem in their own words. Distinguish risk, resilience, continuity, acceptability and resources. Explain that indices are synthetic and budget units are not currency. Introduce the three-turn horizon and the difference between a selected draft and a committed portfolio.</w:t>
      </w:r>
    </w:p>
    <w:p w14:paraId="668AF370" w14:textId="77777777" w:rsidR="00224194" w:rsidRDefault="00B04F81">
      <w:r>
        <w:t>For group play, optional roles are reader of the scenario, portfolio operator, evidence recorder and critical questioner. These are facilitation roles, not additional software features. Rotate them if useful so that operating the interface does not determine who contributes to the decision.</w:t>
      </w:r>
    </w:p>
    <w:p w14:paraId="7BA9F92F" w14:textId="77777777" w:rsidR="00224194" w:rsidRDefault="00B04F81">
      <w:r>
        <w:lastRenderedPageBreak/>
        <w:t>Before each commitment, ask the group to record one intention, one expected benefit, one trade-off and one uncertainty. A short paper or separate editable note is sufficient; the app does not require written reflection. Encourage attention to timing and coordination without handing out a preferred intervention bundle.</w:t>
      </w:r>
    </w:p>
    <w:p w14:paraId="42C976B0" w14:textId="77777777" w:rsidR="00224194" w:rsidRDefault="00B04F81">
      <w:r>
        <w:t>After each event, ask what changed and what evidence supports that explanation. Have learners separate event-only consequences from whole-turn outcomes, identify damage and delayed effects, and decide which observation matters for the next turn. Do not reveal future draws. Reproducibility is a teaching control, not advance event knowledge.</w:t>
      </w:r>
    </w:p>
    <w:p w14:paraId="45DB0618" w14:textId="77777777" w:rsidR="00224194" w:rsidRDefault="00B04F81">
      <w:pPr>
        <w:pStyle w:val="Titolo1"/>
      </w:pPr>
      <w:r>
        <w:t>Debrief questions</w:t>
      </w:r>
    </w:p>
    <w:p w14:paraId="7E859D7B" w14:textId="77777777" w:rsidR="00224194" w:rsidRDefault="00B04F81">
      <w:r>
        <w:t>Start with the recorded trajectory, then interpret the composite score. The six component labels are Risk reduction performance, Resilience growth, Service continuity, Acceptability, Portfolio coherence and Resource efficiency. Mission review is separate from the score. The bands at 50, 70 and 85 are model interpretation boundaries; they are not pass marks for students.</w:t>
      </w:r>
    </w:p>
    <w:p w14:paraId="66F784EC" w14:textId="77777777" w:rsidR="00224194" w:rsidRDefault="00B04F81">
      <w:pPr>
        <w:pStyle w:val="Puntoelenco"/>
      </w:pPr>
      <w:r>
        <w:t>Which intention was supported by the recorded outcome, and which was not?</w:t>
      </w:r>
    </w:p>
    <w:p w14:paraId="40B33AB6" w14:textId="77777777" w:rsidR="00224194" w:rsidRDefault="00B04F81">
      <w:pPr>
        <w:pStyle w:val="Puntoelenco"/>
      </w:pPr>
      <w:r>
        <w:t>What became useful only after time had passed? What remained planned, activating or damaged?</w:t>
      </w:r>
    </w:p>
    <w:p w14:paraId="36E01DF4" w14:textId="77777777" w:rsidR="00224194" w:rsidRDefault="00B04F81">
      <w:pPr>
        <w:pStyle w:val="Puntoelenco"/>
      </w:pPr>
      <w:r>
        <w:t>Did the group confuse affordability with implementability?</w:t>
      </w:r>
    </w:p>
    <w:p w14:paraId="4EE9D835" w14:textId="77777777" w:rsidR="00224194" w:rsidRDefault="00B04F81">
      <w:pPr>
        <w:pStyle w:val="Puntoelenco"/>
      </w:pPr>
      <w:r>
        <w:t>Which consequence came from the event, and which from the whole portfolio or earlier decisions?</w:t>
      </w:r>
    </w:p>
    <w:p w14:paraId="7C18366D" w14:textId="77777777" w:rsidR="00224194" w:rsidRDefault="00B04F81">
      <w:pPr>
        <w:pStyle w:val="Puntoelenco"/>
      </w:pPr>
      <w:r>
        <w:t>What information was available at the time of the choice? Would your explanation unfairly rely on hindsight?</w:t>
      </w:r>
    </w:p>
    <w:p w14:paraId="47ECF73F" w14:textId="77777777" w:rsidR="00224194" w:rsidRDefault="00B04F81">
      <w:pPr>
        <w:pStyle w:val="Puntoelenco"/>
      </w:pPr>
      <w:r>
        <w:t>What did protecting one objective cost in another objective or in flexibility?</w:t>
      </w:r>
    </w:p>
    <w:p w14:paraId="68D60B45" w14:textId="77777777" w:rsidR="00224194" w:rsidRDefault="00B04F81">
      <w:pPr>
        <w:pStyle w:val="Puntoelenco"/>
      </w:pPr>
      <w:r>
        <w:t>Which assumption would you need to check before discussing an analogous real-campus action?</w:t>
      </w:r>
    </w:p>
    <w:p w14:paraId="767B38AB" w14:textId="77777777" w:rsidR="00224194" w:rsidRDefault="00B04F81">
      <w:r>
        <w:t>The scenario tensions can guide the discussion. Pressure Cooker foregrounds urgency and the use of greater resources. Fragile Frontline foregrounds scarcity and practical delivery. Comfort Zone foregrounds proportionality and future options. Silent Risk foregrounds hidden vulnerability and early preparation. These themes are prompts to investigate, not instructions for a unique winning package.</w:t>
      </w:r>
    </w:p>
    <w:p w14:paraId="7039F9D2" w14:textId="77777777" w:rsidR="00224194" w:rsidRDefault="00B04F81">
      <w:pPr>
        <w:pStyle w:val="Titolo1"/>
      </w:pPr>
      <w:r>
        <w:t>A controlled replay exercise</w:t>
      </w:r>
    </w:p>
    <w:p w14:paraId="7B31D74F" w14:textId="77777777" w:rsidR="00224194" w:rsidRDefault="00B04F81">
      <w:r>
        <w:t xml:space="preserve">Ask learners to propose one change and explain its expected mechanism before replaying. From the debrief choose </w:t>
      </w:r>
      <w:r>
        <w:rPr>
          <w:b/>
        </w:rPr>
        <w:t>Replay the same conditions</w:t>
      </w:r>
      <w:r>
        <w:t>. This retains the scenario and seed. Keep the build constant, document decisions and event responses, and inspect the resulting event history. The same seed alone does not ensure identical consequences when decisions differ.</w:t>
      </w:r>
    </w:p>
    <w:p w14:paraId="421DF2CD" w14:textId="77777777" w:rsidR="00224194" w:rsidRDefault="00B04F81">
      <w:r>
        <w:t xml:space="preserve">Compare completed runs through </w:t>
      </w:r>
      <w:r>
        <w:rPr>
          <w:b/>
        </w:rPr>
        <w:t>Advanced settings → Compare completed runs</w:t>
      </w:r>
      <w:r>
        <w:t xml:space="preserve">. Choose two runs from the same campus and select </w:t>
      </w:r>
      <w:r>
        <w:rPr>
          <w:b/>
        </w:rPr>
        <w:t>Compare</w:t>
      </w:r>
      <w:r>
        <w:t>. The table reports event matches and metric changes as second minus first; lower risk is preferable, while higher resilience, continuity and acceptability are preferable. Record whether the intended comparison remained comparable.</w:t>
      </w:r>
    </w:p>
    <w:p w14:paraId="11F87B1E" w14:textId="77777777" w:rsidR="00224194" w:rsidRDefault="00B04F81">
      <w:r>
        <w:t xml:space="preserve">One paired replay is an illustrative case. It does not establish an intervention's average causal effect, an optimal strategy or a human success probability. A second exercise using </w:t>
      </w:r>
      <w:r>
        <w:rPr>
          <w:b/>
        </w:rPr>
        <w:t>Replay with new events</w:t>
      </w:r>
      <w:r>
        <w:t xml:space="preserve"> explores sensitivity, but a few classroom runs are not a calibrated distribution.</w:t>
      </w:r>
    </w:p>
    <w:p w14:paraId="0497DCCF" w14:textId="77777777" w:rsidR="00224194" w:rsidRDefault="00B04F81">
      <w:pPr>
        <w:pStyle w:val="Titolo1"/>
      </w:pPr>
      <w:r>
        <w:t>Use exports responsibly</w:t>
      </w:r>
    </w:p>
    <w:p w14:paraId="50FE996F" w14:textId="77777777" w:rsidR="00224194" w:rsidRDefault="00B04F81">
      <w:r>
        <w:t xml:space="preserve">At the debrief, open </w:t>
      </w:r>
      <w:r>
        <w:rPr>
          <w:b/>
        </w:rPr>
        <w:t>Advanced settings → Export XLSX</w:t>
      </w:r>
      <w:r>
        <w:t xml:space="preserve"> or </w:t>
      </w:r>
      <w:r>
        <w:rPr>
          <w:b/>
        </w:rPr>
        <w:t>Export JSON</w:t>
      </w:r>
      <w:r>
        <w:t xml:space="preserve">. A run export includes the versioned run record used by the import/replay contract. The XLSX is an exchange wrapper containing the run payload on </w:t>
      </w:r>
      <w:r>
        <w:rPr>
          <w:b/>
        </w:rPr>
        <w:t>V2.5 Run</w:t>
      </w:r>
      <w:r>
        <w:t>; it is not a conventional table of student scores and does not recalculate the game through spreadsheet cells.</w:t>
      </w:r>
    </w:p>
    <w:p w14:paraId="525125EB" w14:textId="77777777" w:rsidR="00224194" w:rsidRDefault="00B04F81">
      <w:r>
        <w:t xml:space="preserve">Keep an untouched original and a separate analysis copy. Do not add formulas, macros or edits to the import original: the importer validates workbook content, structure and build identity, and rejects </w:t>
      </w:r>
      <w:r>
        <w:lastRenderedPageBreak/>
        <w:t>incompatible files. A successful import replaces the current active run, so export that run first. Historical versions cannot be resumed or migrated into 2.5.0.</w:t>
      </w:r>
    </w:p>
    <w:p w14:paraId="0E28861C" w14:textId="77777777" w:rsidR="00224194" w:rsidRDefault="00B04F81">
      <w:r>
        <w:t xml:space="preserve">The planning draft is a separate local object. An export of the current run does not include uncommitted selections or the catalogue view. For a mid-planning pause, use </w:t>
      </w:r>
      <w:r>
        <w:rPr>
          <w:b/>
        </w:rPr>
        <w:t>Save &amp; exit → Save and leave</w:t>
      </w:r>
      <w:r>
        <w:t xml:space="preserve"> in the same browser profile; for transfer, record those uncommitted intentions separately. Check storage warnings and do not assume a temporary session will survive closing.</w:t>
      </w:r>
    </w:p>
    <w:p w14:paraId="43AD9C90" w14:textId="77777777" w:rsidR="00224194" w:rsidRDefault="00B04F81">
      <w:r>
        <w:t>Suggested collection record: anonymous group code, application/build identity, scenario, seed, exported filename, main hypothesis, compared turn and interpretation limits. Maintain this outside the app; there is no automatic classroom collection server. Avoid personal names in filenames and seeds. Sharing a download is a deliberate transfer even though the game itself has no account or telemetry.</w:t>
      </w:r>
    </w:p>
    <w:p w14:paraId="765C2995" w14:textId="77777777" w:rsidR="00224194" w:rsidRDefault="00B04F81">
      <w:r>
        <w:rPr>
          <w:b/>
        </w:rPr>
        <w:t>Experience settings → Optional playtest trace</w:t>
      </w:r>
      <w:r>
        <w:t xml:space="preserve"> records local interaction information when enabled, and offers </w:t>
      </w:r>
      <w:r>
        <w:rPr>
          <w:b/>
        </w:rPr>
        <w:t>Export local playtest trace</w:t>
      </w:r>
      <w:r>
        <w:t>. It is optional and is not necessary for ordinary teaching. If observing learners, explain what you intend to collect and use your institution's applicable process. Technical trace data alone do not establish comprehension, enjoyment or accessibility in use.</w:t>
      </w:r>
    </w:p>
    <w:p w14:paraId="48B44133" w14:textId="77777777" w:rsidR="00224194" w:rsidRDefault="00B04F81">
      <w:r>
        <w:t>The dossier payoff workbook serves a different purpose: inspecting current parameters and the checks expressly covered by its workbook guide. Its formulas must not be described as a full engine replica unless that exact scope has been demonstrated.</w:t>
      </w:r>
    </w:p>
    <w:p w14:paraId="463615F9" w14:textId="77777777" w:rsidR="00224194" w:rsidRDefault="00B04F81">
      <w:pPr>
        <w:pStyle w:val="Titolo1"/>
      </w:pPr>
      <w:r>
        <w:t>Assess reasoning, not the game score</w:t>
      </w:r>
    </w:p>
    <w:p w14:paraId="23F5C022" w14:textId="77777777" w:rsidR="00224194" w:rsidRDefault="00B04F81">
      <w:r>
        <w:t>A suggested qualitative assessment looks for an explicit objective, an evidence-based explanation, acknowledgement of trade-offs, appropriate use of information available at decision time, and a defensible account of the model's limits. Use learner explanations and artefacts rather than converting the composite game score into marks. This is a proposed rubric, not a validated instrument.</w:t>
      </w:r>
    </w:p>
    <w:p w14:paraId="25D8A78D" w14:textId="77777777" w:rsidR="00224194" w:rsidRDefault="00B04F81">
      <w:r>
        <w:t>If piloting the materials, record observed misunderstandings, requests for help and barriers separately from opinions about enjoyment. Report who participated, the setup and the method before making any human-validation claim. Automated G1 tests cannot substitute for those observations.</w:t>
      </w:r>
    </w:p>
    <w:p w14:paraId="03A0A5D7" w14:textId="77777777" w:rsidR="00224194" w:rsidRDefault="00B04F81">
      <w:pPr>
        <w:pStyle w:val="Titolo1"/>
      </w:pPr>
      <w:r>
        <w:t>Model and validation cautions for discussion</w:t>
      </w:r>
    </w:p>
    <w:p w14:paraId="4506E5DF" w14:textId="77777777" w:rsidR="00224194" w:rsidRDefault="00B04F81">
      <w:r>
        <w:t>Started interventions persist without renewal, expiry or maintenance charges in the current model; activation, maturity and damage still matter. Coordination load has replaced the early count-above-three rule. Neither older rule should be reintroduced during explanation. The active score remains the adopted model score: historical shadow mission-attainment studies are not a hidden alternative learner result.</w:t>
      </w:r>
    </w:p>
    <w:p w14:paraId="34AD81C4" w14:textId="77777777" w:rsidR="00224194" w:rsidRDefault="00B04F81">
      <w:r>
        <w:t>Historic numerical acceptance describes model-defined legal trajectories, not the probability that a student will pass. Historical statistical acceptance does not automatically qualify the corrected coordination rules. The G1 run03 handoff records the new checks and their limits; browser checks are automated. Human classroom validation, human screen-reader evaluation and physical mobile support are not claimed. Use the release compatibility and limitations document for the exact scope.</w:t>
      </w:r>
    </w:p>
    <w:p w14:paraId="7F58094D" w14:textId="77777777" w:rsidR="00224194" w:rsidRDefault="00B04F81">
      <w:pPr>
        <w:pStyle w:val="Titolo1"/>
      </w:pPr>
      <w:r>
        <w:t>Source basis</w:t>
      </w:r>
    </w:p>
    <w:p w14:paraId="6F69CBA7" w14:textId="77777777" w:rsidR="00224194" w:rsidRDefault="00B04F81">
      <w:r>
        <w:t>Teaching intentions derive from the project objective and approved scenario narratives; proposed session design is identified above. Current controls, labels, seed behaviour and comparison come from the 2.5.0 interface and services. Current lifecycle/coordination interpretation follows the retained V2.3 contracts; validation limits follow G1 run03. The private teaching-source map records precise source locations and the separation between implementation facts and pedagogical proposals.</w:t>
      </w:r>
    </w:p>
    <w:sectPr w:rsidR="00224194" w:rsidSect="00034616">
      <w:footerReference w:type="default" r:id="rId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75A65" w14:textId="77777777" w:rsidR="00B04F81" w:rsidRDefault="00B04F81">
      <w:pPr>
        <w:spacing w:after="0" w:line="240" w:lineRule="auto"/>
      </w:pPr>
      <w:r>
        <w:separator/>
      </w:r>
    </w:p>
  </w:endnote>
  <w:endnote w:type="continuationSeparator" w:id="0">
    <w:p w14:paraId="146B0BE9" w14:textId="77777777" w:rsidR="00B04F81" w:rsidRDefault="00B04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0347" w14:textId="057BD7E5" w:rsidR="00224194" w:rsidRDefault="00B04F81">
    <w:pPr>
      <w:pStyle w:val="Pidipagina"/>
      <w:jc w:val="right"/>
    </w:pPr>
    <w:r>
      <w:rPr>
        <w:sz w:val="16"/>
      </w:rPr>
      <w:t xml:space="preserve">The Heat to Come | 2.5.0 | </w:t>
    </w:r>
    <w:r>
      <w:fldChar w:fldCharType="begin"/>
    </w:r>
    <w:r>
      <w:instrText>PAGE</w:instrText>
    </w:r>
    <w:r>
      <w:fldChar w:fldCharType="separate"/>
    </w:r>
    <w:r w:rsidR="00BD60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BD269" w14:textId="77777777" w:rsidR="00B04F81" w:rsidRDefault="00B04F81">
      <w:pPr>
        <w:spacing w:after="0" w:line="240" w:lineRule="auto"/>
      </w:pPr>
      <w:r>
        <w:separator/>
      </w:r>
    </w:p>
  </w:footnote>
  <w:footnote w:type="continuationSeparator" w:id="0">
    <w:p w14:paraId="5162C5E9" w14:textId="77777777" w:rsidR="00B04F81" w:rsidRDefault="00B04F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7293878">
    <w:abstractNumId w:val="8"/>
  </w:num>
  <w:num w:numId="2" w16cid:durableId="161749780">
    <w:abstractNumId w:val="6"/>
  </w:num>
  <w:num w:numId="3" w16cid:durableId="1440685798">
    <w:abstractNumId w:val="5"/>
  </w:num>
  <w:num w:numId="4" w16cid:durableId="1185629185">
    <w:abstractNumId w:val="4"/>
  </w:num>
  <w:num w:numId="5" w16cid:durableId="1521970220">
    <w:abstractNumId w:val="7"/>
  </w:num>
  <w:num w:numId="6" w16cid:durableId="1330139306">
    <w:abstractNumId w:val="3"/>
  </w:num>
  <w:num w:numId="7" w16cid:durableId="2068139904">
    <w:abstractNumId w:val="2"/>
  </w:num>
  <w:num w:numId="8" w16cid:durableId="1678119109">
    <w:abstractNumId w:val="1"/>
  </w:num>
  <w:num w:numId="9" w16cid:durableId="158553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194"/>
    <w:rsid w:val="0029639D"/>
    <w:rsid w:val="00326F90"/>
    <w:rsid w:val="004A3B8D"/>
    <w:rsid w:val="00AA1D8D"/>
    <w:rsid w:val="00B04F81"/>
    <w:rsid w:val="00B47730"/>
    <w:rsid w:val="00BD60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1381</Words>
  <Characters>9770</Characters>
  <Application>Microsoft Office Word</Application>
  <DocSecurity>0</DocSecurity>
  <Lines>279</Lines>
  <Paragraphs>232</Paragraphs>
  <ScaleCrop>false</ScaleCrop>
  <Manager/>
  <Company/>
  <LinksUpToDate>false</LinksUpToDate>
  <CharactersWithSpaces>10919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2026-09-26T10:05:00Z</dcterms:created>
  <dcterms:modified xsi:type="dcterms:W3CDTF">2026-09-26T10:05:00Z</dcterms:modified>
  <cp:category/>
</cp:coreProperties>
</file>