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A5A78" w14:textId="77777777" w:rsidR="00AD2AE1" w:rsidRDefault="00111C0F">
      <w:pPr>
        <w:pStyle w:val="Titolo"/>
      </w:pPr>
      <w:r>
        <w:t>The Heat to Come</w:t>
      </w:r>
    </w:p>
    <w:p w14:paraId="3B3D7081" w14:textId="77777777" w:rsidR="00AD2AE1" w:rsidRDefault="00111C0F">
      <w:pPr>
        <w:pStyle w:val="Titolo1"/>
      </w:pPr>
      <w:r>
        <w:t>Project and learning objectives</w:t>
      </w:r>
    </w:p>
    <w:p w14:paraId="3F11E692" w14:textId="77777777" w:rsidR="00AD2AE1" w:rsidRDefault="00111C0F">
      <w:r>
        <w:t>Document L01 · Dossier 2.5.0-g2 · 26 September 2026. Applies to application candidate 2.5.0 and model V2-2.3.0. Audience: learners, educators and readers assessing the project. Language: British English. Intended destination: public documentation. Editable source: Markdown; reading and editing editions: PDF and DOCX. Author: G2 teaching/manuals specialist; independent review is recorded in the dossier inventory.</w:t>
      </w:r>
    </w:p>
    <w:p w14:paraId="2CC7437C" w14:textId="77777777" w:rsidR="00AD2AE1" w:rsidRDefault="00111C0F">
      <w:pPr>
        <w:pStyle w:val="Titolo1"/>
      </w:pPr>
      <w:r>
        <w:t>Purpose and experience</w:t>
      </w:r>
    </w:p>
    <w:p w14:paraId="7374BAB8" w14:textId="77777777" w:rsidR="00AD2AE1" w:rsidRDefault="00111C0F">
      <w:r>
        <w:t xml:space="preserve">The Heat to Come is a browser-based climate-adaptation decision game set on a campus. Players join a Task Force, allocate limited resources across three turns, face changing conditions and examine the consequences of their decisions. The subtitle is </w:t>
      </w:r>
      <w:r>
        <w:rPr>
          <w:b/>
        </w:rPr>
        <w:t>A Climate Simulator Game</w:t>
      </w:r>
      <w:r>
        <w:t>. The campus situations are teaching scenarios, not assessments of named real institutions.</w:t>
      </w:r>
    </w:p>
    <w:p w14:paraId="602C1A68" w14:textId="77777777" w:rsidR="00AD2AE1" w:rsidRDefault="00111C0F">
      <w:r>
        <w:t>The central activity is to explain a sequence of choices. A portfolio that appears attractive at one moment may create delivery demands, delayed benefits or social compromises later. The game makes those relationships visible through intervention cards, a campus map, event explanations and a final debrief. It provides no single prescribed solution.</w:t>
      </w:r>
    </w:p>
    <w:p w14:paraId="16FDE179" w14:textId="77777777" w:rsidR="00AD2AE1" w:rsidRDefault="00111C0F">
      <w:r>
        <w:t>The interface uses British English. It runs without an account and keeps run data locally unless a user exports it. A classroom can therefore use the game without a central student database. Distribution packaging and online publication are separate stages: this dossier accompanies the local candidate and does not establish that a 2.5.0 website or Windows package has been published.</w:t>
      </w:r>
    </w:p>
    <w:p w14:paraId="24BFA2B2" w14:textId="77777777" w:rsidR="00AD2AE1" w:rsidRDefault="00111C0F">
      <w:pPr>
        <w:pStyle w:val="Titolo1"/>
      </w:pPr>
      <w:r>
        <w:t>What learners should practise</w:t>
      </w:r>
    </w:p>
    <w:p w14:paraId="66D141EE" w14:textId="77777777" w:rsidR="00AD2AE1" w:rsidRDefault="00111C0F">
      <w:r>
        <w:t>These are intended learning objectives, not demonstrated educational outcomes. A facilitated session can ask learners to:</w:t>
      </w:r>
    </w:p>
    <w:p w14:paraId="04DB3B4E" w14:textId="77777777" w:rsidR="00AD2AE1" w:rsidRDefault="00111C0F">
      <w:pPr>
        <w:pStyle w:val="Numeroelenco"/>
      </w:pPr>
      <w:r>
        <w:t>Distinguish current climate risk from the capacity to withstand and respond to future disruption.</w:t>
      </w:r>
    </w:p>
    <w:p w14:paraId="697ECBC4" w14:textId="77777777" w:rsidR="00AD2AE1" w:rsidRDefault="00111C0F">
      <w:pPr>
        <w:pStyle w:val="Numeroelenco"/>
      </w:pPr>
      <w:r>
        <w:t>Explain why a financially affordable package can still be difficult to coordinate or deliver.</w:t>
      </w:r>
    </w:p>
    <w:p w14:paraId="405C1364" w14:textId="77777777" w:rsidR="00AD2AE1" w:rsidRDefault="00111C0F">
      <w:pPr>
        <w:pStyle w:val="Numeroelenco"/>
      </w:pPr>
      <w:r>
        <w:t>Consider timing: immediate relief, delayed activation, maturing capability and the consequences of committing resources early.</w:t>
      </w:r>
    </w:p>
    <w:p w14:paraId="2760C077" w14:textId="77777777" w:rsidR="00AD2AE1" w:rsidRDefault="00111C0F">
      <w:pPr>
        <w:pStyle w:val="Numeroelenco"/>
      </w:pPr>
      <w:r>
        <w:t>Explain a trade-off between protection, continuity, acceptability and flexibility using the recorded trajectory.</w:t>
      </w:r>
    </w:p>
    <w:p w14:paraId="45C4669A" w14:textId="77777777" w:rsidR="00AD2AE1" w:rsidRDefault="00111C0F">
      <w:pPr>
        <w:pStyle w:val="Numeroelenco"/>
      </w:pPr>
      <w:r>
        <w:t>Revise a plan in response to information that has actually been revealed, without assuming knowledge of future events.</w:t>
      </w:r>
    </w:p>
    <w:p w14:paraId="1AA105D4" w14:textId="77777777" w:rsidR="00AD2AE1" w:rsidRDefault="00111C0F">
      <w:pPr>
        <w:pStyle w:val="Numeroelenco"/>
      </w:pPr>
      <w:r>
        <w:t>Compare alternatives under reproducible conditions and distinguish an observed difference from a general causal claim.</w:t>
      </w:r>
    </w:p>
    <w:p w14:paraId="2E694E5D" w14:textId="77777777" w:rsidR="00AD2AE1" w:rsidRDefault="00111C0F">
      <w:pPr>
        <w:pStyle w:val="Numeroelenco"/>
      </w:pPr>
      <w:r>
        <w:t>Critique the limits of a simplified model before transferring an insight to a real campus.</w:t>
      </w:r>
    </w:p>
    <w:p w14:paraId="18F0100B" w14:textId="77777777" w:rsidR="00AD2AE1" w:rsidRDefault="00111C0F">
      <w:pPr>
        <w:pStyle w:val="Titolo1"/>
      </w:pPr>
      <w:r>
        <w:t>Four situations, shared decision tools</w:t>
      </w:r>
    </w:p>
    <w:tbl>
      <w:tblPr>
        <w:tblW w:w="0" w:type="auto"/>
        <w:jc w:val="center"/>
        <w:tblLayout w:type="fixed"/>
        <w:tblLook w:val="04A0" w:firstRow="1" w:lastRow="0" w:firstColumn="1" w:lastColumn="0" w:noHBand="0" w:noVBand="1"/>
      </w:tblPr>
      <w:tblGrid>
        <w:gridCol w:w="1933"/>
        <w:gridCol w:w="3713"/>
        <w:gridCol w:w="3713"/>
      </w:tblGrid>
      <w:tr w:rsidR="00AD2AE1" w14:paraId="7A688392" w14:textId="77777777">
        <w:trPr>
          <w:cantSplit/>
          <w:tblHeader/>
          <w:jc w:val="center"/>
        </w:trPr>
        <w:tc>
          <w:tcPr>
            <w:tcW w:w="193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CA429B2" w14:textId="77777777" w:rsidR="00AD2AE1" w:rsidRDefault="00111C0F">
            <w:pPr>
              <w:keepNext/>
              <w:spacing w:after="0" w:line="250" w:lineRule="auto"/>
            </w:pPr>
            <w:r>
              <w:rPr>
                <w:b/>
                <w:sz w:val="18"/>
              </w:rPr>
              <w:t>Scenario</w:t>
            </w:r>
          </w:p>
        </w:tc>
        <w:tc>
          <w:tcPr>
            <w:tcW w:w="371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E0783D" w14:textId="77777777" w:rsidR="00AD2AE1" w:rsidRDefault="00111C0F">
            <w:pPr>
              <w:keepNext/>
              <w:spacing w:after="0" w:line="250" w:lineRule="auto"/>
            </w:pPr>
            <w:r>
              <w:rPr>
                <w:b/>
                <w:sz w:val="18"/>
              </w:rPr>
              <w:t>Starting tension</w:t>
            </w:r>
          </w:p>
        </w:tc>
        <w:tc>
          <w:tcPr>
            <w:tcW w:w="371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E71AF8D" w14:textId="77777777" w:rsidR="00AD2AE1" w:rsidRDefault="00111C0F">
            <w:pPr>
              <w:keepNext/>
              <w:spacing w:after="0" w:line="250" w:lineRule="auto"/>
            </w:pPr>
            <w:r>
              <w:rPr>
                <w:b/>
                <w:sz w:val="18"/>
              </w:rPr>
              <w:t>Discussion focus</w:t>
            </w:r>
          </w:p>
        </w:tc>
      </w:tr>
      <w:tr w:rsidR="00AD2AE1" w14:paraId="276FC5E2" w14:textId="77777777">
        <w:trPr>
          <w:cantSplit/>
          <w:jc w:val="center"/>
        </w:trPr>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8C5F98" w14:textId="77777777" w:rsidR="00AD2AE1" w:rsidRDefault="00111C0F">
            <w:pPr>
              <w:keepNext/>
              <w:spacing w:after="0" w:line="250" w:lineRule="auto"/>
            </w:pPr>
            <w:r>
              <w:rPr>
                <w:sz w:val="18"/>
              </w:rPr>
              <w:t>The Pressure Cooker</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3BFEE5" w14:textId="77777777" w:rsidR="00AD2AE1" w:rsidRDefault="00111C0F">
            <w:pPr>
              <w:keepNext/>
              <w:spacing w:after="0" w:line="250" w:lineRule="auto"/>
            </w:pPr>
            <w:r>
              <w:rPr>
                <w:sz w:val="18"/>
              </w:rPr>
              <w:t>High visible risk with more resources</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AE6544" w14:textId="77777777" w:rsidR="00AD2AE1" w:rsidRDefault="00111C0F">
            <w:pPr>
              <w:keepNext/>
              <w:spacing w:after="0" w:line="250" w:lineRule="auto"/>
            </w:pPr>
            <w:r>
              <w:rPr>
                <w:sz w:val="18"/>
              </w:rPr>
              <w:t>Urgency, delivery and justified commitment</w:t>
            </w:r>
          </w:p>
        </w:tc>
      </w:tr>
      <w:tr w:rsidR="00AD2AE1" w14:paraId="1BE1C14E" w14:textId="77777777">
        <w:trPr>
          <w:cantSplit/>
          <w:jc w:val="center"/>
        </w:trPr>
        <w:tc>
          <w:tcPr>
            <w:tcW w:w="193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6074366" w14:textId="77777777" w:rsidR="00AD2AE1" w:rsidRDefault="00111C0F">
            <w:pPr>
              <w:keepNext/>
              <w:spacing w:after="0" w:line="250" w:lineRule="auto"/>
            </w:pPr>
            <w:r>
              <w:rPr>
                <w:sz w:val="18"/>
              </w:rPr>
              <w:t>The Fragile Frontline</w:t>
            </w:r>
          </w:p>
        </w:tc>
        <w:tc>
          <w:tcPr>
            <w:tcW w:w="371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B160CB" w14:textId="77777777" w:rsidR="00AD2AE1" w:rsidRDefault="00111C0F">
            <w:pPr>
              <w:keepNext/>
              <w:spacing w:after="0" w:line="250" w:lineRule="auto"/>
            </w:pPr>
            <w:r>
              <w:rPr>
                <w:sz w:val="18"/>
              </w:rPr>
              <w:t>High risk with limited resources and low resilience</w:t>
            </w:r>
          </w:p>
        </w:tc>
        <w:tc>
          <w:tcPr>
            <w:tcW w:w="371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2DB2330" w14:textId="77777777" w:rsidR="00AD2AE1" w:rsidRDefault="00111C0F">
            <w:pPr>
              <w:keepNext/>
              <w:spacing w:after="0" w:line="250" w:lineRule="auto"/>
            </w:pPr>
            <w:r>
              <w:rPr>
                <w:sz w:val="18"/>
              </w:rPr>
              <w:t>Prioritisation and implementability under scarcity</w:t>
            </w:r>
          </w:p>
        </w:tc>
      </w:tr>
      <w:tr w:rsidR="00AD2AE1" w14:paraId="77038BDD" w14:textId="77777777">
        <w:trPr>
          <w:cantSplit/>
          <w:jc w:val="center"/>
        </w:trPr>
        <w:tc>
          <w:tcPr>
            <w:tcW w:w="193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C19125" w14:textId="77777777" w:rsidR="00AD2AE1" w:rsidRDefault="00111C0F">
            <w:pPr>
              <w:keepNext/>
              <w:spacing w:after="0" w:line="250" w:lineRule="auto"/>
            </w:pPr>
            <w:r>
              <w:rPr>
                <w:sz w:val="18"/>
              </w:rPr>
              <w:t>The Comfort Zone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EA210B" w14:textId="77777777" w:rsidR="00AD2AE1" w:rsidRDefault="00111C0F">
            <w:pPr>
              <w:keepNext/>
              <w:spacing w:after="0" w:line="250" w:lineRule="auto"/>
            </w:pPr>
            <w:r>
              <w:rPr>
                <w:sz w:val="18"/>
              </w:rPr>
              <w:t>Lower current risk with stronger starting resilience</w:t>
            </w:r>
          </w:p>
        </w:tc>
        <w:tc>
          <w:tcPr>
            <w:tcW w:w="371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026C5B" w14:textId="77777777" w:rsidR="00AD2AE1" w:rsidRDefault="00111C0F">
            <w:pPr>
              <w:keepNext/>
              <w:spacing w:after="0" w:line="250" w:lineRule="auto"/>
            </w:pPr>
            <w:r>
              <w:rPr>
                <w:sz w:val="18"/>
              </w:rPr>
              <w:t>Proportionality and preserving future options</w:t>
            </w:r>
          </w:p>
        </w:tc>
      </w:tr>
      <w:tr w:rsidR="00AD2AE1" w14:paraId="482F9998" w14:textId="77777777">
        <w:trPr>
          <w:cantSplit/>
          <w:jc w:val="center"/>
        </w:trPr>
        <w:tc>
          <w:tcPr>
            <w:tcW w:w="193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198EF3" w14:textId="77777777" w:rsidR="00AD2AE1" w:rsidRDefault="00111C0F">
            <w:pPr>
              <w:spacing w:after="0" w:line="250" w:lineRule="auto"/>
            </w:pPr>
            <w:r>
              <w:rPr>
                <w:sz w:val="18"/>
              </w:rPr>
              <w:t>The Silent Risk</w:t>
            </w:r>
          </w:p>
        </w:tc>
        <w:tc>
          <w:tcPr>
            <w:tcW w:w="371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58DEF40" w14:textId="77777777" w:rsidR="00AD2AE1" w:rsidRDefault="00111C0F">
            <w:pPr>
              <w:spacing w:after="0" w:line="250" w:lineRule="auto"/>
            </w:pPr>
            <w:r>
              <w:rPr>
                <w:sz w:val="18"/>
              </w:rPr>
              <w:t>Lower visible risk with weak starting resilience</w:t>
            </w:r>
          </w:p>
        </w:tc>
        <w:tc>
          <w:tcPr>
            <w:tcW w:w="371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201E1B" w14:textId="77777777" w:rsidR="00AD2AE1" w:rsidRDefault="00111C0F">
            <w:pPr>
              <w:spacing w:after="0" w:line="250" w:lineRule="auto"/>
            </w:pPr>
            <w:r>
              <w:rPr>
                <w:sz w:val="18"/>
              </w:rPr>
              <w:t>Recognising latent vulnerability and preparing early</w:t>
            </w:r>
          </w:p>
        </w:tc>
      </w:tr>
    </w:tbl>
    <w:p w14:paraId="6524475E" w14:textId="77777777" w:rsidR="00AD2AE1" w:rsidRDefault="00AD2AE1">
      <w:pPr>
        <w:spacing w:after="20"/>
      </w:pPr>
    </w:p>
    <w:p w14:paraId="3BD2BCB6" w14:textId="77777777" w:rsidR="00AD2AE1" w:rsidRDefault="00111C0F">
      <w:r>
        <w:t>All four scenarios use the same intervention catalogue. Their current numeric conditions and release schedules belong to the scenario reference in this dossier. Original V1 scenario documents preserve the conceptual lineage; their historic budgets and calibration values must not be used as the current rules.</w:t>
      </w:r>
    </w:p>
    <w:p w14:paraId="1E9E6A9C" w14:textId="77777777" w:rsidR="00AD2AE1" w:rsidRDefault="00111C0F">
      <w:pPr>
        <w:pStyle w:val="Titolo1"/>
      </w:pPr>
      <w:r>
        <w:t>What the model represents</w:t>
      </w:r>
    </w:p>
    <w:p w14:paraId="3E6CAA01" w14:textId="77777777" w:rsidR="00AD2AE1" w:rsidRDefault="00111C0F">
      <w:r>
        <w:t>Risk, resilience, continuity and acceptability are synthetic indices. Budget units are relative game resources, not a currency. Interventions represent simplified adaptation options with authored costs, delivery timing, interactions and effects. Events are designed stresses and opportunities governed by reproducible random draws. A replay requires the same build, scenario, seed and choices to reproduce the full result.</w:t>
      </w:r>
    </w:p>
    <w:p w14:paraId="69C2BF34" w14:textId="77777777" w:rsidR="00AD2AE1" w:rsidRDefault="00111C0F">
      <w:r>
        <w:t>The score summarises a simulated trajectory for reflection. It is not a learner grade, a climate forecast, a probability of safety, a percentage of an optimal real-world plan or an investment appraisal. The workbook accompanying the dossier has its own declared reproduction scope; it must not be assumed to be a second complete game engine.</w:t>
      </w:r>
    </w:p>
    <w:p w14:paraId="6F2E1BBC" w14:textId="77777777" w:rsidR="00AD2AE1" w:rsidRDefault="00111C0F">
      <w:pPr>
        <w:pStyle w:val="Titolo1"/>
      </w:pPr>
      <w:r>
        <w:t>Teaching use and evidence boundary</w:t>
      </w:r>
    </w:p>
    <w:p w14:paraId="56EAE013" w14:textId="77777777" w:rsidR="00AD2AE1" w:rsidRDefault="00111C0F">
      <w:r>
        <w:t>Individual exploration, small-group deliberation and paired replay are suggested uses. The facilitator guide supplies a practical session structure and a way to collect observations without equating scores with understanding. These suggestions have not been validated in a classroom study.</w:t>
      </w:r>
    </w:p>
    <w:p w14:paraId="0BA31E95" w14:textId="77777777" w:rsidR="00AD2AE1" w:rsidRDefault="00111C0F">
      <w:r>
        <w:t>The G1 run03 handoff records technical qualification of the corrected software, including the exact scope of automated games, replay and data exchange. That evidence does not establish learning gains, enjoyment, native-speaker review, universal accessibility or physical mobile-device support. The historical archive also has a specifically accepted loss recorded privately in the G1 handoff; the current dossier does not claim that all earlier releases can be reconstructed.</w:t>
      </w:r>
    </w:p>
    <w:p w14:paraId="0BD90044" w14:textId="77777777" w:rsidR="00AD2AE1" w:rsidRDefault="00111C0F">
      <w:pPr>
        <w:pStyle w:val="Titolo1"/>
      </w:pPr>
      <w:r>
        <w:t>Source basis</w:t>
      </w:r>
    </w:p>
    <w:p w14:paraId="1EEBE4C8" w14:textId="77777777" w:rsidR="00AD2AE1" w:rsidRDefault="00111C0F">
      <w:r>
        <w:t xml:space="preserve">Current behaviour: application 2.5.0, </w:t>
      </w:r>
      <w:r>
        <w:rPr>
          <w:rFonts w:ascii="Consolas" w:hAnsi="Consolas"/>
          <w:sz w:val="18"/>
        </w:rPr>
        <w:t>ExperienceApp.tsx</w:t>
      </w:r>
      <w:r>
        <w:t xml:space="preserve"> and the British-English content catalogue. Current rules: model V2-2.3.0 and the V2.3 coordination, lifecycle and active-score contracts. Conceptual lineage: the four approved scenario narratives. Qualification: G1 run03 handoff for the corrected coordination rules, with its exact file inventory. The private teaching-source map identifies exact paths and sections; it is not required for playing.</w:t>
      </w:r>
    </w:p>
    <w:p w14:paraId="5AB48959" w14:textId="77777777" w:rsidR="00AD2AE1" w:rsidRDefault="00111C0F">
      <w:r>
        <w:br w:type="page"/>
      </w:r>
    </w:p>
    <w:p w14:paraId="5B05FA1D" w14:textId="77777777" w:rsidR="00AD2AE1" w:rsidRDefault="00111C0F">
      <w:pPr>
        <w:pStyle w:val="Titolo1"/>
      </w:pPr>
      <w:r>
        <w:lastRenderedPageBreak/>
        <w:t>Dossier terminology</w:t>
      </w:r>
    </w:p>
    <w:p w14:paraId="0F592220" w14:textId="77777777" w:rsidR="00AD2AE1" w:rsidRDefault="00111C0F">
      <w:r>
        <w:t>Application 2.5.0; model V2-2.3.0; documentation revision 1, 26 September 2026. Audience: all dossier readers. Language: English. Public reference. Author: editorial coordinator; independent review recorded in the inventory.</w:t>
      </w:r>
    </w:p>
    <w:tbl>
      <w:tblPr>
        <w:tblW w:w="0" w:type="auto"/>
        <w:jc w:val="center"/>
        <w:tblLayout w:type="fixed"/>
        <w:tblLook w:val="04A0" w:firstRow="1" w:lastRow="0" w:firstColumn="1" w:lastColumn="0" w:noHBand="0" w:noVBand="1"/>
      </w:tblPr>
      <w:tblGrid>
        <w:gridCol w:w="3090"/>
        <w:gridCol w:w="6270"/>
      </w:tblGrid>
      <w:tr w:rsidR="00AD2AE1" w14:paraId="66CDB1F9" w14:textId="77777777">
        <w:trPr>
          <w:cantSplit/>
          <w:tblHeader/>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97ED534" w14:textId="77777777" w:rsidR="00AD2AE1" w:rsidRDefault="00111C0F">
            <w:pPr>
              <w:keepNext/>
              <w:spacing w:after="0" w:line="250" w:lineRule="auto"/>
            </w:pPr>
            <w:r>
              <w:rPr>
                <w:b/>
                <w:sz w:val="18"/>
              </w:rPr>
              <w:t>Term</w:t>
            </w:r>
          </w:p>
        </w:tc>
        <w:tc>
          <w:tcPr>
            <w:tcW w:w="627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1C612D8" w14:textId="77777777" w:rsidR="00AD2AE1" w:rsidRDefault="00111C0F">
            <w:pPr>
              <w:keepNext/>
              <w:spacing w:after="0" w:line="250" w:lineRule="auto"/>
            </w:pPr>
            <w:r>
              <w:rPr>
                <w:b/>
                <w:sz w:val="18"/>
              </w:rPr>
              <w:t>Meaning in this dossier</w:t>
            </w:r>
          </w:p>
        </w:tc>
      </w:tr>
      <w:tr w:rsidR="00AD2AE1" w14:paraId="24207304"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317E90" w14:textId="77777777" w:rsidR="00AD2AE1" w:rsidRDefault="00111C0F">
            <w:pPr>
              <w:spacing w:after="0" w:line="250" w:lineRule="auto"/>
            </w:pPr>
            <w:r>
              <w:rPr>
                <w:sz w:val="18"/>
              </w:rPr>
              <w:t>Application version</w:t>
            </w:r>
          </w:p>
        </w:tc>
        <w:tc>
          <w:tcPr>
            <w:tcW w:w="62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D143BD" w14:textId="77777777" w:rsidR="00AD2AE1" w:rsidRDefault="00111C0F">
            <w:pPr>
              <w:spacing w:after="0" w:line="250" w:lineRule="auto"/>
            </w:pPr>
            <w:r>
              <w:rPr>
                <w:sz w:val="18"/>
              </w:rPr>
              <w:t>The interface, persistence and distribution identity; currently 2.5.0.</w:t>
            </w:r>
          </w:p>
        </w:tc>
      </w:tr>
      <w:tr w:rsidR="00AD2AE1" w14:paraId="7E76E07D"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E933A1" w14:textId="77777777" w:rsidR="00AD2AE1" w:rsidRDefault="00111C0F">
            <w:pPr>
              <w:spacing w:after="0" w:line="250" w:lineRule="auto"/>
            </w:pPr>
            <w:r>
              <w:rPr>
                <w:sz w:val="18"/>
              </w:rPr>
              <w:t>Model version</w:t>
            </w:r>
          </w:p>
        </w:tc>
        <w:tc>
          <w:tcPr>
            <w:tcW w:w="62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6E4C6E" w14:textId="77777777" w:rsidR="00AD2AE1" w:rsidRDefault="00111C0F">
            <w:pPr>
              <w:spacing w:after="0" w:line="250" w:lineRule="auto"/>
            </w:pPr>
            <w:r>
              <w:rPr>
                <w:sz w:val="18"/>
              </w:rPr>
              <w:t>The retained parameter and model-data identity V2-2.3.0. It differs from the application version and the rule revision.</w:t>
            </w:r>
          </w:p>
        </w:tc>
      </w:tr>
      <w:tr w:rsidR="00AD2AE1" w14:paraId="29859DA3"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8F1505" w14:textId="77777777" w:rsidR="00AD2AE1" w:rsidRDefault="00111C0F">
            <w:pPr>
              <w:spacing w:after="0" w:line="250" w:lineRule="auto"/>
            </w:pPr>
            <w:r>
              <w:rPr>
                <w:sz w:val="18"/>
              </w:rPr>
              <w:t>Rule revision</w:t>
            </w:r>
          </w:p>
        </w:tc>
        <w:tc>
          <w:tcPr>
            <w:tcW w:w="62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263329" w14:textId="77777777" w:rsidR="00AD2AE1" w:rsidRDefault="00111C0F">
            <w:pPr>
              <w:spacing w:after="0" w:line="250" w:lineRule="auto"/>
            </w:pPr>
            <w:r>
              <w:rPr>
                <w:sz w:val="18"/>
              </w:rPr>
              <w:t>The algorithm identity; current coordination-v2 corrects pair lookup. Its exact fingerprint distinguishes it from earlier 2.5.0 candidates with the same model values.</w:t>
            </w:r>
          </w:p>
        </w:tc>
      </w:tr>
      <w:tr w:rsidR="00AD2AE1" w14:paraId="1C4FA8F5"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FD45B8" w14:textId="77777777" w:rsidR="00AD2AE1" w:rsidRDefault="00111C0F">
            <w:pPr>
              <w:spacing w:after="0" w:line="250" w:lineRule="auto"/>
            </w:pPr>
            <w:r>
              <w:rPr>
                <w:sz w:val="18"/>
              </w:rPr>
              <w:t>Turn</w:t>
            </w:r>
          </w:p>
        </w:tc>
        <w:tc>
          <w:tcPr>
            <w:tcW w:w="62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684C9A" w14:textId="77777777" w:rsidR="00AD2AE1" w:rsidRDefault="00111C0F">
            <w:pPr>
              <w:spacing w:after="0" w:line="250" w:lineRule="auto"/>
            </w:pPr>
            <w:r>
              <w:rPr>
                <w:sz w:val="18"/>
              </w:rPr>
              <w:t>One decision period representing an academic year centred on its hot season; three turns form a run.</w:t>
            </w:r>
          </w:p>
        </w:tc>
      </w:tr>
      <w:tr w:rsidR="00AD2AE1" w14:paraId="600D48E0"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117FE5" w14:textId="77777777" w:rsidR="00AD2AE1" w:rsidRDefault="00111C0F">
            <w:pPr>
              <w:spacing w:after="0" w:line="250" w:lineRule="auto"/>
            </w:pPr>
            <w:r>
              <w:rPr>
                <w:sz w:val="18"/>
              </w:rPr>
              <w:t>Risk</w:t>
            </w:r>
          </w:p>
        </w:tc>
        <w:tc>
          <w:tcPr>
            <w:tcW w:w="62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643335" w14:textId="77777777" w:rsidR="00AD2AE1" w:rsidRDefault="00111C0F">
            <w:pPr>
              <w:spacing w:after="0" w:line="250" w:lineRule="auto"/>
            </w:pPr>
            <w:r>
              <w:rPr>
                <w:sz w:val="18"/>
              </w:rPr>
              <w:t>A synthetic index for which lower is better, not an event probability.</w:t>
            </w:r>
          </w:p>
        </w:tc>
      </w:tr>
      <w:tr w:rsidR="00AD2AE1" w14:paraId="52B00D47"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8B1A44B" w14:textId="77777777" w:rsidR="00AD2AE1" w:rsidRDefault="00111C0F">
            <w:pPr>
              <w:spacing w:after="0" w:line="250" w:lineRule="auto"/>
            </w:pPr>
            <w:r>
              <w:rPr>
                <w:sz w:val="18"/>
              </w:rPr>
              <w:t>Resilience</w:t>
            </w:r>
          </w:p>
        </w:tc>
        <w:tc>
          <w:tcPr>
            <w:tcW w:w="62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1F8D92A" w14:textId="77777777" w:rsidR="00AD2AE1" w:rsidRDefault="00111C0F">
            <w:pPr>
              <w:spacing w:after="0" w:line="250" w:lineRule="auto"/>
            </w:pPr>
            <w:r>
              <w:rPr>
                <w:sz w:val="18"/>
              </w:rPr>
              <w:t>A synthetic capacity index for which higher is better.</w:t>
            </w:r>
          </w:p>
        </w:tc>
      </w:tr>
      <w:tr w:rsidR="00AD2AE1" w14:paraId="09EBDA00"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FA41A5" w14:textId="77777777" w:rsidR="00AD2AE1" w:rsidRDefault="00111C0F">
            <w:pPr>
              <w:spacing w:after="0" w:line="250" w:lineRule="auto"/>
            </w:pPr>
            <w:r>
              <w:rPr>
                <w:sz w:val="18"/>
              </w:rPr>
              <w:t>Continuity</w:t>
            </w:r>
          </w:p>
        </w:tc>
        <w:tc>
          <w:tcPr>
            <w:tcW w:w="62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B54384" w14:textId="77777777" w:rsidR="00AD2AE1" w:rsidRDefault="00111C0F">
            <w:pPr>
              <w:spacing w:after="0" w:line="250" w:lineRule="auto"/>
            </w:pPr>
            <w:r>
              <w:rPr>
                <w:sz w:val="18"/>
              </w:rPr>
              <w:t>A synthetic index of maintaining campus services.</w:t>
            </w:r>
          </w:p>
        </w:tc>
      </w:tr>
      <w:tr w:rsidR="00AD2AE1" w14:paraId="29F3EC3B"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816EA92" w14:textId="77777777" w:rsidR="00AD2AE1" w:rsidRDefault="00111C0F">
            <w:pPr>
              <w:spacing w:after="0" w:line="250" w:lineRule="auto"/>
            </w:pPr>
            <w:r>
              <w:rPr>
                <w:sz w:val="18"/>
              </w:rPr>
              <w:t>Acceptability</w:t>
            </w:r>
          </w:p>
        </w:tc>
        <w:tc>
          <w:tcPr>
            <w:tcW w:w="62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231C232" w14:textId="77777777" w:rsidR="00AD2AE1" w:rsidRDefault="00111C0F">
            <w:pPr>
              <w:spacing w:after="0" w:line="250" w:lineRule="auto"/>
            </w:pPr>
            <w:r>
              <w:rPr>
                <w:sz w:val="18"/>
              </w:rPr>
              <w:t>A synthetic index of social acceptance of the response.</w:t>
            </w:r>
          </w:p>
        </w:tc>
      </w:tr>
      <w:tr w:rsidR="00AD2AE1" w14:paraId="4929C496"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BA54C6" w14:textId="77777777" w:rsidR="00AD2AE1" w:rsidRDefault="00111C0F">
            <w:pPr>
              <w:spacing w:after="0" w:line="250" w:lineRule="auto"/>
            </w:pPr>
            <w:r>
              <w:rPr>
                <w:sz w:val="18"/>
              </w:rPr>
              <w:t>Budget</w:t>
            </w:r>
          </w:p>
        </w:tc>
        <w:tc>
          <w:tcPr>
            <w:tcW w:w="62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52F264" w14:textId="77777777" w:rsidR="00AD2AE1" w:rsidRDefault="00111C0F">
            <w:pPr>
              <w:spacing w:after="0" w:line="250" w:lineRule="auto"/>
            </w:pPr>
            <w:r>
              <w:rPr>
                <w:sz w:val="18"/>
              </w:rPr>
              <w:t>Relative game resources, not currency. Scheduled release, available resources and carryover are distinct.</w:t>
            </w:r>
          </w:p>
        </w:tc>
      </w:tr>
      <w:tr w:rsidR="00AD2AE1" w14:paraId="0C271068"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2679BA9" w14:textId="77777777" w:rsidR="00AD2AE1" w:rsidRDefault="00111C0F">
            <w:pPr>
              <w:spacing w:after="0" w:line="250" w:lineRule="auto"/>
            </w:pPr>
            <w:r>
              <w:rPr>
                <w:sz w:val="18"/>
              </w:rPr>
              <w:t>Planning draft</w:t>
            </w:r>
          </w:p>
        </w:tc>
        <w:tc>
          <w:tcPr>
            <w:tcW w:w="62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CB952F" w14:textId="77777777" w:rsidR="00AD2AE1" w:rsidRDefault="00111C0F">
            <w:pPr>
              <w:spacing w:after="0" w:line="250" w:lineRule="auto"/>
            </w:pPr>
            <w:r>
              <w:rPr>
                <w:sz w:val="18"/>
              </w:rPr>
              <w:t>Local uncommitted selections and catalogue view; separate from a run export.</w:t>
            </w:r>
          </w:p>
        </w:tc>
      </w:tr>
      <w:tr w:rsidR="00AD2AE1" w14:paraId="3529058F"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AD2193" w14:textId="77777777" w:rsidR="00AD2AE1" w:rsidRDefault="00111C0F">
            <w:pPr>
              <w:spacing w:after="0" w:line="250" w:lineRule="auto"/>
            </w:pPr>
            <w:r>
              <w:rPr>
                <w:sz w:val="18"/>
              </w:rPr>
              <w:t>Operation</w:t>
            </w:r>
          </w:p>
        </w:tc>
        <w:tc>
          <w:tcPr>
            <w:tcW w:w="62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EDDC4A" w14:textId="77777777" w:rsidR="00AD2AE1" w:rsidRDefault="00111C0F">
            <w:pPr>
              <w:spacing w:after="0" w:line="250" w:lineRule="auto"/>
            </w:pPr>
            <w:r>
              <w:rPr>
                <w:sz w:val="18"/>
              </w:rPr>
              <w:t>Start L1, Start L2, Upgrade or contextual Repair on an intervention.</w:t>
            </w:r>
          </w:p>
        </w:tc>
      </w:tr>
      <w:tr w:rsidR="00AD2AE1" w14:paraId="6A5BD1B9"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C71067" w14:textId="77777777" w:rsidR="00AD2AE1" w:rsidRDefault="00111C0F">
            <w:pPr>
              <w:spacing w:after="0" w:line="250" w:lineRule="auto"/>
            </w:pPr>
            <w:r>
              <w:rPr>
                <w:sz w:val="18"/>
              </w:rPr>
              <w:t>Coordination load</w:t>
            </w:r>
          </w:p>
        </w:tc>
        <w:tc>
          <w:tcPr>
            <w:tcW w:w="62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CCCDD8A" w14:textId="77777777" w:rsidR="00AD2AE1" w:rsidRDefault="00111C0F">
            <w:pPr>
              <w:spacing w:after="0" w:line="250" w:lineRule="auto"/>
            </w:pPr>
            <w:r>
              <w:rPr>
                <w:sz w:val="18"/>
              </w:rPr>
              <w:t>Turn-local delivery work, category heterogeneity and bounded complementarity relative to capacity.</w:t>
            </w:r>
          </w:p>
        </w:tc>
      </w:tr>
      <w:tr w:rsidR="00AD2AE1" w14:paraId="6DE1F6EC"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8987D6" w14:textId="77777777" w:rsidR="00AD2AE1" w:rsidRDefault="00111C0F">
            <w:pPr>
              <w:spacing w:after="0" w:line="250" w:lineRule="auto"/>
            </w:pPr>
            <w:r>
              <w:rPr>
                <w:sz w:val="18"/>
              </w:rPr>
              <w:t>Maturity</w:t>
            </w:r>
          </w:p>
        </w:tc>
        <w:tc>
          <w:tcPr>
            <w:tcW w:w="62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2D1095" w14:textId="77777777" w:rsidR="00AD2AE1" w:rsidRDefault="00111C0F">
            <w:pPr>
              <w:spacing w:after="0" w:line="250" w:lineRule="auto"/>
            </w:pPr>
            <w:r>
              <w:rPr>
                <w:sz w:val="18"/>
              </w:rPr>
              <w:t>Timing of physical benefits or capability contribution; those curves can differ.</w:t>
            </w:r>
          </w:p>
        </w:tc>
      </w:tr>
      <w:tr w:rsidR="00AD2AE1" w14:paraId="47637E62"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CAB0ED" w14:textId="77777777" w:rsidR="00AD2AE1" w:rsidRDefault="00111C0F">
            <w:pPr>
              <w:spacing w:after="0" w:line="250" w:lineRule="auto"/>
            </w:pPr>
            <w:r>
              <w:rPr>
                <w:sz w:val="18"/>
              </w:rPr>
              <w:t>Capability</w:t>
            </w:r>
          </w:p>
        </w:tc>
        <w:tc>
          <w:tcPr>
            <w:tcW w:w="62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AF22ADF" w14:textId="77777777" w:rsidR="00AD2AE1" w:rsidRDefault="00111C0F">
            <w:pPr>
              <w:spacing w:after="0" w:line="250" w:lineRule="auto"/>
            </w:pPr>
            <w:r>
              <w:rPr>
                <w:sz w:val="18"/>
              </w:rPr>
              <w:t>The model's tag-based contribution used by event response and coordination mechanisms.</w:t>
            </w:r>
          </w:p>
        </w:tc>
      </w:tr>
      <w:tr w:rsidR="00AD2AE1" w14:paraId="6577C6F2"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F4597B" w14:textId="77777777" w:rsidR="00AD2AE1" w:rsidRDefault="00111C0F">
            <w:pPr>
              <w:spacing w:after="0" w:line="250" w:lineRule="auto"/>
            </w:pPr>
            <w:r>
              <w:rPr>
                <w:sz w:val="18"/>
              </w:rPr>
              <w:t>Event-only change</w:t>
            </w:r>
          </w:p>
        </w:tc>
        <w:tc>
          <w:tcPr>
            <w:tcW w:w="62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19A265" w14:textId="77777777" w:rsidR="00AD2AE1" w:rsidRDefault="00111C0F">
            <w:pPr>
              <w:spacing w:after="0" w:line="250" w:lineRule="auto"/>
            </w:pPr>
            <w:r>
              <w:rPr>
                <w:sz w:val="18"/>
              </w:rPr>
              <w:t>The realised change caused by the event stage, excluding preceding portfolio effects.</w:t>
            </w:r>
          </w:p>
        </w:tc>
      </w:tr>
      <w:tr w:rsidR="00AD2AE1" w14:paraId="75358214"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F180BFA" w14:textId="77777777" w:rsidR="00AD2AE1" w:rsidRDefault="00111C0F">
            <w:pPr>
              <w:spacing w:after="0" w:line="250" w:lineRule="auto"/>
            </w:pPr>
            <w:r>
              <w:rPr>
                <w:sz w:val="18"/>
              </w:rPr>
              <w:t>Whole-turn change</w:t>
            </w:r>
          </w:p>
        </w:tc>
        <w:tc>
          <w:tcPr>
            <w:tcW w:w="62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905C66" w14:textId="77777777" w:rsidR="00AD2AE1" w:rsidRDefault="00111C0F">
            <w:pPr>
              <w:spacing w:after="0" w:line="250" w:lineRule="auto"/>
            </w:pPr>
            <w:r>
              <w:rPr>
                <w:sz w:val="18"/>
              </w:rPr>
              <w:t>The recorded change across the entire committed turn, including portfolio effects.</w:t>
            </w:r>
          </w:p>
        </w:tc>
      </w:tr>
      <w:tr w:rsidR="00AD2AE1" w14:paraId="46A43B45"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CC2EFB" w14:textId="77777777" w:rsidR="00AD2AE1" w:rsidRDefault="00111C0F">
            <w:pPr>
              <w:spacing w:after="0" w:line="250" w:lineRule="auto"/>
            </w:pPr>
            <w:r>
              <w:rPr>
                <w:sz w:val="18"/>
              </w:rPr>
              <w:t>Active score</w:t>
            </w:r>
          </w:p>
        </w:tc>
        <w:tc>
          <w:tcPr>
            <w:tcW w:w="62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331472" w14:textId="77777777" w:rsidR="00AD2AE1" w:rsidRDefault="00111C0F">
            <w:pPr>
              <w:spacing w:after="0" w:line="250" w:lineRule="auto"/>
            </w:pPr>
            <w:r>
              <w:rPr>
                <w:sz w:val="18"/>
              </w:rPr>
              <w:t>The score displayed by the game; distinct from unadopted shadow research methods.</w:t>
            </w:r>
          </w:p>
        </w:tc>
      </w:tr>
      <w:tr w:rsidR="00AD2AE1" w14:paraId="2AE58991"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82A873" w14:textId="77777777" w:rsidR="00AD2AE1" w:rsidRDefault="00111C0F">
            <w:pPr>
              <w:spacing w:after="0" w:line="250" w:lineRule="auto"/>
            </w:pPr>
            <w:r>
              <w:rPr>
                <w:sz w:val="18"/>
              </w:rPr>
              <w:t>Audit workbook</w:t>
            </w:r>
          </w:p>
        </w:tc>
        <w:tc>
          <w:tcPr>
            <w:tcW w:w="62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850A36" w14:textId="77777777" w:rsidR="00AD2AE1" w:rsidRDefault="00111C0F">
            <w:pPr>
              <w:spacing w:after="0" w:line="250" w:lineRule="auto"/>
            </w:pPr>
            <w:r>
              <w:rPr>
                <w:sz w:val="18"/>
              </w:rPr>
              <w:t>Current parameter tables and expressly selected formula checks; not a full engine or a run-import file.</w:t>
            </w:r>
          </w:p>
        </w:tc>
      </w:tr>
      <w:tr w:rsidR="00AD2AE1" w14:paraId="59F22A1E"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DB523F" w14:textId="77777777" w:rsidR="00AD2AE1" w:rsidRDefault="00111C0F">
            <w:pPr>
              <w:spacing w:after="0" w:line="250" w:lineRule="auto"/>
            </w:pPr>
            <w:r>
              <w:rPr>
                <w:sz w:val="18"/>
              </w:rPr>
              <w:t>Same-build compatibility</w:t>
            </w:r>
          </w:p>
        </w:tc>
        <w:tc>
          <w:tcPr>
            <w:tcW w:w="62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EF1B2B" w14:textId="77777777" w:rsidR="00AD2AE1" w:rsidRDefault="00111C0F">
            <w:pPr>
              <w:spacing w:after="0" w:line="250" w:lineRule="auto"/>
            </w:pPr>
            <w:r>
              <w:rPr>
                <w:sz w:val="18"/>
              </w:rPr>
              <w:t>Matching declared schemas and fingerprints, not merely the same version label.</w:t>
            </w:r>
          </w:p>
        </w:tc>
      </w:tr>
      <w:tr w:rsidR="00AD2AE1" w14:paraId="45236A48"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46B783" w14:textId="77777777" w:rsidR="00AD2AE1" w:rsidRDefault="00111C0F">
            <w:pPr>
              <w:spacing w:after="0" w:line="250" w:lineRule="auto"/>
            </w:pPr>
            <w:r>
              <w:rPr>
                <w:sz w:val="18"/>
              </w:rPr>
              <w:t>Historical source</w:t>
            </w:r>
          </w:p>
        </w:tc>
        <w:tc>
          <w:tcPr>
            <w:tcW w:w="627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5FAE4AC" w14:textId="77777777" w:rsidR="00AD2AE1" w:rsidRDefault="00111C0F">
            <w:pPr>
              <w:spacing w:after="0" w:line="250" w:lineRule="auto"/>
            </w:pPr>
            <w:r>
              <w:rPr>
                <w:sz w:val="18"/>
              </w:rPr>
              <w:t>Preserved evidence of an earlier document/model, not current operational authority.</w:t>
            </w:r>
          </w:p>
        </w:tc>
      </w:tr>
      <w:tr w:rsidR="00AD2AE1" w14:paraId="6D365E1F" w14:textId="77777777">
        <w:trPr>
          <w:cantSplit/>
          <w:jc w:val="center"/>
        </w:trPr>
        <w:tc>
          <w:tcPr>
            <w:tcW w:w="309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B13727" w14:textId="77777777" w:rsidR="00AD2AE1" w:rsidRDefault="00111C0F">
            <w:pPr>
              <w:spacing w:after="0" w:line="250" w:lineRule="auto"/>
            </w:pPr>
            <w:r>
              <w:rPr>
                <w:sz w:val="18"/>
              </w:rPr>
              <w:t>Technical qualification</w:t>
            </w:r>
          </w:p>
        </w:tc>
        <w:tc>
          <w:tcPr>
            <w:tcW w:w="62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9DBBB1" w14:textId="77777777" w:rsidR="00AD2AE1" w:rsidRDefault="00111C0F">
            <w:pPr>
              <w:spacing w:after="0" w:line="250" w:lineRule="auto"/>
            </w:pPr>
            <w:r>
              <w:rPr>
                <w:sz w:val="18"/>
              </w:rPr>
              <w:t>The specific automated checks and exact files identified by G1, with its stated limitations.</w:t>
            </w:r>
          </w:p>
        </w:tc>
      </w:tr>
    </w:tbl>
    <w:p w14:paraId="59C5CFF5" w14:textId="77777777" w:rsidR="00AD2AE1" w:rsidRDefault="00AD2AE1">
      <w:pPr>
        <w:spacing w:after="20"/>
      </w:pPr>
    </w:p>
    <w:p w14:paraId="14C7DE38" w14:textId="77777777" w:rsidR="00AD2AE1" w:rsidRDefault="00111C0F">
      <w:r>
        <w:t>Terminology follows the current canonical model, qualified interface and G1 handoff. Exact source locators are held in the private G2 traceability map.</w:t>
      </w:r>
    </w:p>
    <w:sectPr w:rsidR="00AD2AE1" w:rsidSect="00034616">
      <w:footerReference w:type="default" r:id="rId8"/>
      <w:pgSz w:w="11909" w:h="16834"/>
      <w:pgMar w:top="1008" w:right="1274" w:bottom="936" w:left="12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868C6" w14:textId="77777777" w:rsidR="00111C0F" w:rsidRDefault="00111C0F">
      <w:pPr>
        <w:spacing w:after="0" w:line="240" w:lineRule="auto"/>
      </w:pPr>
      <w:r>
        <w:separator/>
      </w:r>
    </w:p>
  </w:endnote>
  <w:endnote w:type="continuationSeparator" w:id="0">
    <w:p w14:paraId="18D944DC" w14:textId="77777777" w:rsidR="00111C0F" w:rsidRDefault="00111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5CA2" w14:textId="466EFECD" w:rsidR="00AD2AE1" w:rsidRDefault="00111C0F">
    <w:pPr>
      <w:pStyle w:val="Pidipagina"/>
      <w:jc w:val="right"/>
    </w:pPr>
    <w:r>
      <w:rPr>
        <w:sz w:val="16"/>
      </w:rPr>
      <w:t xml:space="preserve">The Heat to Come | 2.5.0 | </w:t>
    </w:r>
    <w:r>
      <w:fldChar w:fldCharType="begin"/>
    </w:r>
    <w:r>
      <w:instrText>PAGE</w:instrText>
    </w:r>
    <w:r>
      <w:fldChar w:fldCharType="separate"/>
    </w:r>
    <w:r w:rsidR="000914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C456E" w14:textId="77777777" w:rsidR="00111C0F" w:rsidRDefault="00111C0F">
      <w:pPr>
        <w:spacing w:after="0" w:line="240" w:lineRule="auto"/>
      </w:pPr>
      <w:r>
        <w:separator/>
      </w:r>
    </w:p>
  </w:footnote>
  <w:footnote w:type="continuationSeparator" w:id="0">
    <w:p w14:paraId="38363EF1" w14:textId="77777777" w:rsidR="00111C0F" w:rsidRDefault="00111C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11433178">
    <w:abstractNumId w:val="8"/>
  </w:num>
  <w:num w:numId="2" w16cid:durableId="956066889">
    <w:abstractNumId w:val="6"/>
  </w:num>
  <w:num w:numId="3" w16cid:durableId="147207211">
    <w:abstractNumId w:val="5"/>
  </w:num>
  <w:num w:numId="4" w16cid:durableId="926185683">
    <w:abstractNumId w:val="4"/>
  </w:num>
  <w:num w:numId="5" w16cid:durableId="2082437026">
    <w:abstractNumId w:val="7"/>
  </w:num>
  <w:num w:numId="6" w16cid:durableId="2017995140">
    <w:abstractNumId w:val="3"/>
  </w:num>
  <w:num w:numId="7" w16cid:durableId="142822038">
    <w:abstractNumId w:val="2"/>
  </w:num>
  <w:num w:numId="8" w16cid:durableId="1300262837">
    <w:abstractNumId w:val="1"/>
  </w:num>
  <w:num w:numId="9" w16cid:durableId="474101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D1"/>
    <w:rsid w:val="00111C0F"/>
    <w:rsid w:val="0015074B"/>
    <w:rsid w:val="0029639D"/>
    <w:rsid w:val="00326F90"/>
    <w:rsid w:val="004A3B8D"/>
    <w:rsid w:val="00AA1D8D"/>
    <w:rsid w:val="00AD2AE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hAnsi="Arial"/>
      <w:color w:val="000000"/>
      <w:sz w:val="21"/>
    </w:rPr>
  </w:style>
  <w:style w:type="paragraph" w:styleId="Titolo1">
    <w:name w:val="heading 1"/>
    <w:basedOn w:val="Normale"/>
    <w:next w:val="Normale"/>
    <w:link w:val="Titolo1Carattere"/>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itolo3">
    <w:name w:val="heading 3"/>
    <w:basedOn w:val="Normale"/>
    <w:next w:val="Normale"/>
    <w:link w:val="Titolo3Carattere"/>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1203</Words>
  <Characters>6786</Characters>
  <Application>Microsoft Office Word</Application>
  <DocSecurity>0</DocSecurity>
  <Lines>113</Lines>
  <Paragraphs>50</Paragraphs>
  <ScaleCrop>false</ScaleCrop>
  <Manager/>
  <Company/>
  <LinksUpToDate>false</LinksUpToDate>
  <CharactersWithSpaces>7939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2026-09-26T10:06:00Z</dcterms:created>
  <dcterms:modified xsi:type="dcterms:W3CDTF">2026-09-26T10:06:00Z</dcterms:modified>
  <cp:category/>
</cp:coreProperties>
</file>