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 réservés / libres »</w:t>
      </w:r>
      <w:r>
        <w:t xml:space="preserve"> et un tableau </w:t>
      </w:r>
      <w:r>
        <w:rPr>
          <w:b/>
          <w:bCs/>
        </w:rPr>
        <w:t xml:space="preserve">« Créneaux par mois »</w:t>
      </w:r>
      <w:r>
        <w:t xml:space="preserve"> (créneaux ayant une occurrence dans le mois, réservés dans le mois, libres, séances).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 Le remplissage </w:t>
      </w:r>
      <w:r>
        <w:rPr>
          <w:b/>
          <w:bCs/>
        </w:rPr>
        <w:t xml:space="preserve">par structure</w:t>
      </w:r>
      <w:r>
        <w:t xml:space="preserve"> reste calculé sur les séances réservées, une séance vide n'appartenant à aucune structure.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38a79c42e3cfc297013433092c29a97864a938c5.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2026-09-13T09:09:38.108Z</dcterms:created>
  <dcterms:modified xsi:type="dcterms:W3CDTF">2026-09-13T09:09:38.110Z</dcterms:modified>
</cp:coreProperties>
</file>

<file path=docProps/custom.xml><?xml version="1.0" encoding="utf-8"?>
<Properties xmlns="http://schemas.openxmlformats.org/officeDocument/2006/custom-properties" xmlns:vt="http://schemas.openxmlformats.org/officeDocument/2006/docPropsVTypes"/>
</file>