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 créneaux restés libres, ou créneaux à jauge accueillant plusieurs réservations — un volet </w:t>
      </w:r>
      <w:r>
        <w:rPr>
          <w:b/>
          <w:bCs/>
        </w:rPr>
        <w:t xml:space="preserve">créneaux</w:t>
      </w:r>
      <w:r>
        <w:t xml:space="preserve"> s'ajoute : compteurs « Créneaux proposés » (avec les libres, dont ceux déjà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(proposés, réservés, libres, séances). Le taux de créneaux réservés mesure l'usage de l'offre ; il ne se confond pas avec le remplissage, qui mesure la jauge des seuls créneaux réservés. L'export CSV contient toujours ce volet.</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2026-09-12T12:17:20.682Z</dcterms:created>
  <dcterms:modified xsi:type="dcterms:W3CDTF">2026-09-12T12:17:20.684Z</dcterms:modified>
</cp:coreProperties>
</file>

<file path=docProps/custom.xml><?xml version="1.0" encoding="utf-8"?>
<Properties xmlns="http://schemas.openxmlformats.org/officeDocument/2006/custom-properties" xmlns:vt="http://schemas.openxmlformats.org/officeDocument/2006/docPropsVTypes"/>
</file>