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 Le remplissage </w:t>
      </w:r>
      <w:r>
        <w:rPr>
          <w:b/>
          <w:bCs/>
        </w:rPr>
        <w:t xml:space="preserve">par structure</w:t>
      </w:r>
      <w:r>
        <w:t xml:space="preserve"> reste calculé sur les séances réservées, une séance vide n'appartenant à aucune structure.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dedb6ce3f15b50c43f18ae5562f6f5488dfb0f3e.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2026-09-14T13:17:27.129Z</dcterms:created>
  <dcterms:modified xsi:type="dcterms:W3CDTF">2026-09-14T13:17:27.131Z</dcterms:modified>
</cp:coreProperties>
</file>

<file path=docProps/custom.xml><?xml version="1.0" encoding="utf-8"?>
<Properties xmlns="http://schemas.openxmlformats.org/officeDocument/2006/custom-properties" xmlns:vt="http://schemas.openxmlformats.org/officeDocument/2006/docPropsVTypes"/>
</file>