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libres, séances). Le taux de créneaux réservés mesure l'usage de l'offre ; il ne se confond pas avec le remplissage, qui mesure la jauge des seuls créneaux réservés. L'export CSV contient toujours ce volet.</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2026-09-12T14:26:59.065Z</dcterms:created>
  <dcterms:modified xsi:type="dcterms:W3CDTF">2026-09-12T14:26:59.066Z</dcterms:modified>
</cp:coreProperties>
</file>

<file path=docProps/custom.xml><?xml version="1.0" encoding="utf-8"?>
<Properties xmlns="http://schemas.openxmlformats.org/officeDocument/2006/custom-properties" xmlns:vt="http://schemas.openxmlformats.org/officeDocument/2006/docPropsVTypes"/>
</file>