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Les </w:t>
      </w:r>
      <w:r>
        <w:rPr>
          <w:b/>
          <w:bCs/>
        </w:rPr>
        <w:t xml:space="preserve">effectifs</w:t>
      </w:r>
      <w:r>
        <w:t xml:space="preserve"> font exception : le compteur </w:t>
      </w:r>
      <w:r>
        <w:rPr>
          <w:b/>
          <w:bCs/>
        </w:rPr>
        <w:t xml:space="preserve">« Fréquentation enfants »</w:t>
      </w:r>
      <w:r>
        <w:t xml:space="preserve">, celui des accompagnants et les répartitions </w:t>
      </w:r>
      <w:r>
        <w:rPr>
          <w:b/>
          <w:bCs/>
        </w:rPr>
        <w:t xml:space="preserve">par jour, par structure, par niveau et par thème</w:t>
      </w:r>
      <w:r>
        <w:t xml:space="preserve"> comptent des </w:t>
      </w:r>
      <w:r>
        <w:rPr>
          <w:b/>
          <w:bCs/>
        </w:rPr>
        <w:t xml:space="preserve">enfants distincts</w:t>
      </w:r>
      <w:r>
        <w:t xml:space="preserve"> — chaque inscrit compte une seule fois, avec l'effectif de sa réservation la plus nombreuse, de sorte qu'une réservation récurrente ne pèse pas ses séances. Le compteur « Fréquentation enfants » rappelle en dessous le cumul sur les séances.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Les jours que l'agenda hachure — vacances scolaires et jours fériés quand l'exercice les ferme, jours inactifs — ne font pas partie de l'offre : ni le remplissage ni le volet créneaux ne les comptent.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b651075beaef140408db7b1f01edaa59676be99.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c14a257d3b8041a57c6af25233ab442fee23133d.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2026-09-16T16:08:18.987Z</dcterms:created>
  <dcterms:modified xsi:type="dcterms:W3CDTF">2026-09-16T16:08:18.989Z</dcterms:modified>
</cp:coreProperties>
</file>

<file path=docProps/custom.xml><?xml version="1.0" encoding="utf-8"?>
<Properties xmlns="http://schemas.openxmlformats.org/officeDocument/2006/custom-properties" xmlns:vt="http://schemas.openxmlformats.org/officeDocument/2006/docPropsVTypes"/>
</file>