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Dès que le nombre de </w:t>
      </w:r>
      <w:r>
        <w:rPr>
          <w:b/>
          <w:bCs/>
        </w:rPr>
        <w:t xml:space="preserve">créneaux</w:t>
      </w:r>
      <w:r>
        <w:t xml:space="preserve"> proposés diffère du nombre de séances — créneaux restés libres, ou créneaux à jauge accueillant plusieurs réservations — un volet </w:t>
      </w:r>
      <w:r>
        <w:rPr>
          <w:b/>
          <w:bCs/>
        </w:rPr>
        <w:t xml:space="preserve">créneaux</w:t>
      </w:r>
      <w:r>
        <w:t xml:space="preserve"> s'ajoute : compteurs « Créneaux proposés » (avec les libres, dont ceux déjà passés) et « Créneaux réservés » (part des créneaux portant au moins une séance), un anneau </w:t>
      </w:r>
      <w:r>
        <w:rPr>
          <w:b/>
          <w:bCs/>
        </w:rPr>
        <w:t xml:space="preserve">« Créneaux — réservés / libres »</w:t>
      </w:r>
      <w:r>
        <w:t xml:space="preserve"> et un tableau </w:t>
      </w:r>
      <w:r>
        <w:rPr>
          <w:b/>
          <w:bCs/>
        </w:rPr>
        <w:t xml:space="preserve">« Créneaux par mois »</w:t>
      </w:r>
      <w:r>
        <w:t xml:space="preserve"> (proposés, réservés, libres, séances). Le taux de créneaux réservés mesure l'usage de l'offre ; il ne se confond pas avec le remplissage, qui mesure la jauge des seuls créneaux réservés. L'export CSV contient toujours ce volet.</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38a79c42e3cfc297013433092c29a97864a938c5.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2026-09-12T12:03:13.634Z</dcterms:created>
  <dcterms:modified xsi:type="dcterms:W3CDTF">2026-09-12T12:03:13.636Z</dcterms:modified>
</cp:coreProperties>
</file>

<file path=docProps/custom.xml><?xml version="1.0" encoding="utf-8"?>
<Properties xmlns="http://schemas.openxmlformats.org/officeDocument/2006/custom-properties" xmlns:vt="http://schemas.openxmlformats.org/officeDocument/2006/docPropsVTypes"/>
</file>