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 Le remplissage </w:t>
      </w:r>
      <w:r>
        <w:rPr>
          <w:b/>
          <w:bCs/>
        </w:rPr>
        <w:t xml:space="preserve">par structure</w:t>
      </w:r>
      <w:r>
        <w:t xml:space="preserve"> reste calculé sur les séances réservées, une séance vide n'appartenant à aucune structure.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dedb6ce3f15b50c43f18ae5562f6f5488dfb0f3e.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2026-09-14T17:57:44.166Z</dcterms:created>
  <dcterms:modified xsi:type="dcterms:W3CDTF">2026-09-14T17:57:44.169Z</dcterms:modified>
</cp:coreProperties>
</file>

<file path=docProps/custom.xml><?xml version="1.0" encoding="utf-8"?>
<Properties xmlns="http://schemas.openxmlformats.org/officeDocument/2006/custom-properties" xmlns:vt="http://schemas.openxmlformats.org/officeDocument/2006/docPropsVTypes"/>
</file>