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media/image15.wmf" ContentType="image/x-wmf"/>
  <Override PartName="/word/media/image14.wmf" ContentType="image/x-wmf"/>
  <Override PartName="/word/media/image13.wmf" ContentType="image/x-wmf"/>
  <Override PartName="/word/media/image10.wmf" ContentType="image/x-wmf"/>
  <Override PartName="/word/media/image8.wmf" ContentType="image/x-wmf"/>
  <Override PartName="/word/media/image7.wmf" ContentType="image/x-wmf"/>
  <Override PartName="/word/media/image12.wmf" ContentType="image/x-wmf"/>
  <Override PartName="/word/media/image5.emf" ContentType="image/x-emf"/>
  <Override PartName="/word/media/image4.wmf" ContentType="image/x-wmf"/>
  <Override PartName="/word/media/image9.wmf" ContentType="image/x-wmf"/>
  <Override PartName="/word/media/image3.wmf" ContentType="image/x-wmf"/>
  <Override PartName="/word/media/image2.emf" ContentType="image/x-emf"/>
  <Override PartName="/word/media/image11.wmf" ContentType="image/x-wmf"/>
  <Override PartName="/word/media/image6.emf" ContentType="image/x-emf"/>
  <Override PartName="/word/media/image1.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b/>
        </w:rPr>
      </w:pPr>
      <w:r>
        <w:rPr>
          <w:b/>
        </w:rPr>
        <w:t>2. Methods</w:t>
      </w:r>
    </w:p>
    <w:p>
      <w:pPr>
        <w:pStyle w:val="Normal"/>
        <w:ind w:left="0" w:right="0" w:firstLine="720"/>
        <w:jc w:val="both"/>
        <w:rPr/>
      </w:pPr>
      <w:r>
        <w:rPr/>
        <w:t xml:space="preserve">We have broadly partitioned the ocean floor into </w:t>
      </w:r>
      <w:r>
        <w:rPr>
          <w:rFonts w:eastAsia="AdvEPSTIM" w:cs="Times New Roman"/>
          <w:color w:val="000000"/>
          <w:szCs w:val="24"/>
        </w:rPr>
        <w:t xml:space="preserve">shelf, margin and abyss domains in order to specify values for </w:t>
      </w:r>
      <w:r>
        <w:rPr/>
        <w:t>some of the parameters required to carry out the modeling approach described below because they are not well-constrained on a global basis (see Table 2)</w:t>
      </w:r>
      <w:r>
        <w:rPr>
          <w:rFonts w:eastAsia="AdvEPSTIM" w:cs="Times New Roman"/>
          <w:color w:val="000000"/>
          <w:szCs w:val="24"/>
        </w:rPr>
        <w:t>.</w:t>
      </w:r>
      <w:r>
        <w:rPr/>
        <w:t xml:space="preserve"> The location of the continental margin boundaries was adopted from </w:t>
      </w:r>
      <w:r>
        <w:rPr>
          <w:rFonts w:eastAsia="AdvEPSTIM" w:cs="Times New Roman"/>
          <w:color w:val="000000"/>
          <w:szCs w:val="24"/>
        </w:rPr>
        <w:t>(</w:t>
      </w:r>
      <w:hyperlink w:anchor="_ENREF_61">
        <w:r>
          <w:rPr>
            <w:rStyle w:val="InternetLink"/>
            <w:rFonts w:eastAsia="AdvEPSTIM" w:cs="Times New Roman"/>
            <w:color w:val="000000"/>
            <w:szCs w:val="24"/>
          </w:rPr>
          <w:t>Vion and Menot, 2009</w:t>
        </w:r>
      </w:hyperlink>
      <w:r>
        <w:rPr>
          <w:rFonts w:eastAsia="AdvEPSTIM" w:cs="Times New Roman"/>
          <w:color w:val="000000"/>
          <w:szCs w:val="24"/>
        </w:rPr>
        <w:t>)</w:t>
      </w:r>
      <w:r>
        <w:rPr/>
        <w:t>: shelf environments roughly correspond to  water depths &lt; 200 m, with the exception of the Antarctic region where shelf area corresponds to water depths &lt; 500m; areas deeper than ~3500 m are taken to be abyssal plain. Accordingly, continental shelf underlies about 6.33% of ocean surface area, margins make up 10.78% and the abyssal domain constitutes the remaining 82.89%. The map depicted in Figure 1 shows the locations of these domains.</w:t>
      </w:r>
    </w:p>
    <w:p>
      <w:pPr>
        <w:pStyle w:val="Normal"/>
        <w:ind w:left="0" w:right="0" w:firstLine="720"/>
        <w:jc w:val="both"/>
        <w:rPr/>
      </w:pPr>
      <w:r>
        <w:rPr/>
        <w:t xml:space="preserve"> </w:t>
      </w:r>
    </w:p>
    <w:p>
      <w:pPr>
        <w:pStyle w:val="Normal"/>
        <w:jc w:val="both"/>
        <w:rPr>
          <w:b/>
          <w:i/>
        </w:rPr>
      </w:pPr>
      <w:r>
        <w:rPr>
          <w:b/>
        </w:rPr>
        <w:t xml:space="preserve">2.1 </w:t>
      </w:r>
      <w:r>
        <w:rPr>
          <w:b/>
          <w:i/>
        </w:rPr>
        <w:t>Reaction transport model</w:t>
      </w:r>
    </w:p>
    <w:p>
      <w:pPr>
        <w:pStyle w:val="Normal"/>
        <w:ind w:left="0" w:right="0" w:firstLine="720"/>
        <w:jc w:val="both"/>
        <w:rPr>
          <w:bCs/>
          <w:szCs w:val="17"/>
          <w:lang w:bidi="en-US"/>
        </w:rPr>
      </w:pPr>
      <w:r>
        <w:rPr/>
        <w:t>A reaction-transport model is used to estimate the depth distribution of POC in global marine sediments, and to assess the amount of this POC that has been degraded throughout the Quaternary Period. T</w:t>
      </w:r>
      <w:r>
        <w:rPr>
          <w:bCs/>
          <w:szCs w:val="17"/>
          <w:lang w:bidi="en-US"/>
        </w:rPr>
        <w:t>he one-dimensional conservation equation for POC in porous media is given by (e.g., Berner, 1980; Boudreau, 1997):</w:t>
      </w:r>
    </w:p>
    <w:p>
      <w:pPr>
        <w:pStyle w:val="Normal"/>
        <w:jc w:val="both"/>
        <w:rPr>
          <w:bCs/>
          <w:szCs w:val="17"/>
          <w:lang w:bidi="en-US"/>
        </w:rPr>
      </w:pPr>
      <w:r>
        <w:rPr>
          <w:bCs/>
          <w:szCs w:val="17"/>
          <w:lang w:bidi="en-US"/>
        </w:rPr>
      </w:r>
    </w:p>
    <w:p>
      <w:pPr>
        <w:pStyle w:val="Normal"/>
        <w:ind w:left="2160" w:right="0" w:firstLine="720"/>
        <w:jc w:val="both"/>
        <w:rPr/>
      </w:pPr>
      <w:r>
        <w:rPr/>
        <w:pict>
          <v:rect id="shape_0" stroked="f" style="position:absolute;margin-left:0pt;margin-top:0pt;width:217.3pt;height:32.6pt">
            <v:imagedata r:id="rId2" detectmouseclick="t"/>
            <v:wrap v:type="none"/>
            <v:stroke color="#3465a4" joinstyle="round" endcap="flat"/>
          </v:rect>
        </w:pict>
      </w:r>
      <w:r>
        <w:rPr/>
        <w:tab/>
        <w:tab/>
        <w:t>(1)</w:t>
      </w:r>
    </w:p>
    <w:p>
      <w:pPr>
        <w:pStyle w:val="Normal"/>
        <w:jc w:val="both"/>
        <w:rPr>
          <w:bCs/>
          <w:szCs w:val="17"/>
          <w:lang w:bidi="en-US"/>
        </w:rPr>
      </w:pPr>
      <w:r>
        <w:rPr>
          <w:bCs/>
          <w:szCs w:val="17"/>
          <w:lang w:bidi="en-US"/>
        </w:rPr>
      </w:r>
    </w:p>
    <w:p>
      <w:pPr>
        <w:pStyle w:val="Normal"/>
        <w:jc w:val="both"/>
        <w:rPr/>
      </w:pPr>
      <w:r>
        <w:rPr>
          <w:bCs/>
          <w:szCs w:val="21"/>
          <w:lang w:bidi="en-US"/>
        </w:rPr>
        <w:t xml:space="preserve">where </w:t>
      </w:r>
      <w:r>
        <w:rPr>
          <w:bCs/>
          <w:i/>
          <w:szCs w:val="21"/>
          <w:lang w:bidi="en-US"/>
        </w:rPr>
        <w:t>POC</w:t>
      </w:r>
      <w:r>
        <w:rPr>
          <w:bCs/>
          <w:szCs w:val="15"/>
          <w:lang w:bidi="en-US"/>
        </w:rPr>
        <w:t xml:space="preserve"> </w:t>
      </w:r>
      <w:r>
        <w:rPr>
          <w:bCs/>
          <w:szCs w:val="21"/>
          <w:lang w:bidi="en-US"/>
        </w:rPr>
        <w:t xml:space="preserve">corresponds to the concentration of particulate organic matter; </w:t>
      </w:r>
      <w:r>
        <w:rPr>
          <w:bCs/>
          <w:i/>
          <w:szCs w:val="21"/>
          <w:lang w:bidi="en-US"/>
        </w:rPr>
        <w:t>t</w:t>
      </w:r>
      <w:r>
        <w:rPr>
          <w:bCs/>
          <w:szCs w:val="21"/>
          <w:lang w:bidi="en-US"/>
        </w:rPr>
        <w:t xml:space="preserve"> stands for time; </w:t>
      </w:r>
      <w:r>
        <w:rPr>
          <w:bCs/>
          <w:i/>
          <w:szCs w:val="21"/>
          <w:lang w:bidi="en-US"/>
        </w:rPr>
        <w:t>D</w:t>
      </w:r>
      <w:r>
        <w:rPr>
          <w:bCs/>
          <w:i/>
          <w:szCs w:val="21"/>
          <w:vertAlign w:val="subscript"/>
          <w:lang w:bidi="en-US"/>
        </w:rPr>
        <w:t>b</w:t>
      </w:r>
      <w:r>
        <w:rPr>
          <w:bCs/>
          <w:szCs w:val="21"/>
          <w:lang w:bidi="en-US"/>
        </w:rPr>
        <w:t xml:space="preserve"> refers to the bioturbation coefficient; </w:t>
      </w:r>
      <w:r>
        <w:rPr>
          <w:bCs/>
          <w:i/>
          <w:szCs w:val="21"/>
          <w:lang w:bidi="en-US"/>
        </w:rPr>
        <w:t>ω</w:t>
      </w:r>
      <w:r>
        <w:rPr>
          <w:bCs/>
          <w:szCs w:val="15"/>
          <w:lang w:bidi="en-US"/>
        </w:rPr>
        <w:t xml:space="preserve"> </w:t>
      </w:r>
      <w:r>
        <w:rPr>
          <w:bCs/>
          <w:szCs w:val="21"/>
          <w:lang w:bidi="en-US"/>
        </w:rPr>
        <w:t>represents the sedimentation rate,</w:t>
      </w:r>
      <w:r>
        <w:rPr>
          <w:bCs/>
          <w:i/>
          <w:szCs w:val="21"/>
          <w:lang w:bidi="en-US"/>
        </w:rPr>
        <w:t xml:space="preserve"> </w:t>
      </w:r>
      <w:r>
        <w:rPr>
          <w:bCs/>
          <w:szCs w:val="21"/>
          <w:lang w:bidi="en-US"/>
        </w:rPr>
        <w:t>and</w:t>
      </w:r>
      <w:r>
        <w:rPr>
          <w:bCs/>
          <w:i/>
          <w:szCs w:val="21"/>
          <w:lang w:bidi="en-US"/>
        </w:rPr>
        <w:t xml:space="preserve"> R</w:t>
      </w:r>
      <w:r>
        <w:rPr>
          <w:bCs/>
          <w:i/>
          <w:szCs w:val="21"/>
          <w:vertAlign w:val="subscript"/>
          <w:lang w:bidi="en-US"/>
        </w:rPr>
        <w:t>POC</w:t>
      </w:r>
      <w:r>
        <w:rPr>
          <w:bCs/>
          <w:i/>
          <w:szCs w:val="21"/>
          <w:lang w:bidi="en-US"/>
        </w:rPr>
        <w:t xml:space="preserve"> </w:t>
      </w:r>
      <w:r>
        <w:rPr>
          <w:bCs/>
          <w:szCs w:val="21"/>
          <w:lang w:bidi="en-US"/>
        </w:rPr>
        <w:t xml:space="preserve">denotes the rate of heterotrophic organic matter degradation. The bioturbation coefficient </w:t>
      </w:r>
      <w:r>
        <w:rPr/>
        <w:t>is calculated as a function of water depth based on a compilation of empirical data collected by (</w:t>
      </w:r>
      <w:hyperlink w:anchor="_ENREF_37">
        <w:r>
          <w:rPr>
            <w:rStyle w:val="InternetLink"/>
          </w:rPr>
          <w:t>Middelburg et al., 1997</w:t>
        </w:r>
      </w:hyperlink>
      <w:r>
        <w:rPr/>
        <w:t xml:space="preserve">). The porosity, </w:t>
      </w:r>
      <w:r>
        <w:rPr>
          <w:rFonts w:eastAsia="AdvEPSTIM" w:cs="Times New Roman" w:ascii="Symbol" w:hAnsi="Symbol"/>
          <w:i/>
          <w:color w:val="000000"/>
          <w:szCs w:val="24"/>
        </w:rPr>
        <w:t></w:t>
      </w:r>
      <w:r>
        <w:rPr/>
        <w:t xml:space="preserve">, of marine sediments in the shelf, margin and abyss domains was calculated as an exponential function of depth, </w:t>
      </w:r>
      <w:r>
        <w:rPr>
          <w:i/>
        </w:rPr>
        <w:t>z</w:t>
      </w:r>
      <w:r>
        <w:rPr/>
        <w:t xml:space="preserve"> (m) (thus assuming steady state compaction), using a standard formulation commonly used in basin-to-global scale porosity studies (</w:t>
      </w:r>
      <w:hyperlink w:anchor="_ENREF_4">
        <w:r>
          <w:rPr>
            <w:rStyle w:val="InternetLink"/>
          </w:rPr>
          <w:t>Athy, 1930</w:t>
        </w:r>
      </w:hyperlink>
      <w:r>
        <w:rPr/>
        <w:t xml:space="preserve">):  </w:t>
      </w:r>
    </w:p>
    <w:p>
      <w:pPr>
        <w:pStyle w:val="Normal"/>
        <w:jc w:val="both"/>
        <w:rPr/>
      </w:pPr>
      <w:r>
        <w:rPr/>
      </w:r>
    </w:p>
    <w:p>
      <w:pPr>
        <w:pStyle w:val="Normal"/>
        <w:ind w:left="2880" w:right="0" w:firstLine="720"/>
        <w:rPr>
          <w:rFonts w:eastAsia="AdvEPSTIM" w:cs="Times New Roman"/>
          <w:color w:val="000000"/>
          <w:szCs w:val="24"/>
        </w:rPr>
      </w:pPr>
      <w:r>
        <w:rPr>
          <w:rFonts w:eastAsia="AdvEPSTIM" w:cs="Times New Roman" w:ascii="Symbol" w:hAnsi="Symbol"/>
          <w:i/>
          <w:color w:val="000000"/>
          <w:szCs w:val="24"/>
        </w:rPr>
        <w:t></w:t>
      </w:r>
      <w:r>
        <w:rPr>
          <w:rFonts w:eastAsia="AdvEPSTIM" w:cs="Times New Roman"/>
          <w:color w:val="000000"/>
          <w:szCs w:val="24"/>
        </w:rPr>
        <w:t>(</w:t>
      </w:r>
      <w:r>
        <w:rPr>
          <w:rFonts w:eastAsia="AdvEPSTIM" w:cs="Times New Roman"/>
          <w:i/>
          <w:color w:val="000000"/>
          <w:szCs w:val="24"/>
        </w:rPr>
        <w:t>z</w:t>
      </w:r>
      <w:r>
        <w:rPr>
          <w:rFonts w:eastAsia="AdvEPSTIM" w:cs="Times New Roman"/>
          <w:color w:val="000000"/>
          <w:szCs w:val="24"/>
        </w:rPr>
        <w:t xml:space="preserve">) = </w:t>
      </w:r>
      <w:r>
        <w:rPr>
          <w:rFonts w:eastAsia="AdvEPSTIM" w:cs="Times New Roman" w:ascii="Symbol" w:hAnsi="Symbol"/>
          <w:i/>
          <w:color w:val="000000"/>
          <w:szCs w:val="24"/>
        </w:rPr>
        <w:t></w:t>
      </w:r>
      <w:r>
        <w:rPr>
          <w:rFonts w:eastAsia="AdvEPSTIM" w:cs="Times New Roman"/>
          <w:color w:val="000000"/>
          <w:szCs w:val="24"/>
          <w:vertAlign w:val="subscript"/>
        </w:rPr>
        <w:t>0</w:t>
      </w:r>
      <w:r>
        <w:rPr>
          <w:rFonts w:eastAsia="AdvEPSTIM" w:cs="Times New Roman"/>
          <w:color w:val="000000"/>
          <w:szCs w:val="24"/>
        </w:rPr>
        <w:t xml:space="preserve"> exp(-</w:t>
      </w:r>
      <w:r>
        <w:rPr>
          <w:rFonts w:eastAsia="AdvEPSTIM" w:cs="Times New Roman"/>
          <w:i/>
          <w:color w:val="000000"/>
          <w:szCs w:val="24"/>
        </w:rPr>
        <w:t>c</w:t>
      </w:r>
      <w:r>
        <w:rPr>
          <w:rFonts w:eastAsia="AdvEPSTIM" w:cs="Times New Roman"/>
          <w:color w:val="000000"/>
          <w:szCs w:val="24"/>
          <w:vertAlign w:val="subscript"/>
        </w:rPr>
        <w:t>0</w:t>
      </w:r>
      <w:r>
        <w:rPr>
          <w:rFonts w:eastAsia="AdvEPSTIM" w:cs="Times New Roman"/>
          <w:i/>
          <w:color w:val="000000"/>
          <w:szCs w:val="24"/>
        </w:rPr>
        <w:t>z</w:t>
      </w:r>
      <w:r>
        <w:rPr>
          <w:rFonts w:eastAsia="AdvEPSTIM" w:cs="Times New Roman"/>
          <w:color w:val="000000"/>
          <w:szCs w:val="24"/>
        </w:rPr>
        <w:t>)</w:t>
        <w:tab/>
        <w:tab/>
        <w:tab/>
        <w:tab/>
        <w:tab/>
        <w:t>(2)</w:t>
      </w:r>
    </w:p>
    <w:p>
      <w:pPr>
        <w:pStyle w:val="Normal"/>
        <w:jc w:val="both"/>
        <w:rPr/>
      </w:pPr>
      <w:r>
        <w:rPr/>
      </w:r>
    </w:p>
    <w:p>
      <w:pPr>
        <w:pStyle w:val="Normal"/>
        <w:jc w:val="both"/>
        <w:rPr/>
      </w:pPr>
      <w:r>
        <w:rPr>
          <w:rFonts w:eastAsia="AdvEPSTIM" w:cs="Times New Roman"/>
          <w:color w:val="000000"/>
          <w:szCs w:val="24"/>
        </w:rPr>
        <w:t xml:space="preserve">where </w:t>
      </w:r>
      <w:r>
        <w:rPr>
          <w:rFonts w:eastAsia="AdvEPSTIM" w:cs="Times New Roman" w:ascii="Symbol" w:hAnsi="Symbol"/>
          <w:i/>
          <w:color w:val="000000"/>
          <w:szCs w:val="24"/>
        </w:rPr>
        <w:t></w:t>
      </w:r>
      <w:r>
        <w:rPr>
          <w:rFonts w:eastAsia="AdvEPSTIM" w:cs="Times New Roman"/>
          <w:color w:val="000000"/>
          <w:szCs w:val="24"/>
          <w:vertAlign w:val="subscript"/>
        </w:rPr>
        <w:t>0</w:t>
      </w:r>
      <w:r>
        <w:rPr>
          <w:rFonts w:eastAsia="AdvEPSTIM" w:cs="Times New Roman"/>
          <w:color w:val="000000"/>
          <w:szCs w:val="24"/>
        </w:rPr>
        <w:t xml:space="preserve"> denotes the porosity at the SWI and </w:t>
      </w:r>
      <w:r>
        <w:rPr>
          <w:rFonts w:eastAsia="AdvEPSTIM" w:cs="Times New Roman"/>
          <w:i/>
          <w:color w:val="000000"/>
          <w:szCs w:val="24"/>
        </w:rPr>
        <w:t>c</w:t>
      </w:r>
      <w:r>
        <w:rPr>
          <w:rFonts w:eastAsia="AdvEPSTIM" w:cs="Times New Roman"/>
          <w:color w:val="000000"/>
          <w:szCs w:val="24"/>
          <w:vertAlign w:val="subscript"/>
        </w:rPr>
        <w:t>0</w:t>
      </w:r>
      <w:r>
        <w:rPr>
          <w:rFonts w:eastAsia="AdvEPSTIM" w:cs="Times New Roman"/>
          <w:color w:val="000000"/>
          <w:szCs w:val="24"/>
        </w:rPr>
        <w:t xml:space="preserve"> (m</w:t>
      </w:r>
      <w:r>
        <w:rPr>
          <w:rFonts w:eastAsia="AdvEPSTIM" w:cs="Times New Roman"/>
          <w:color w:val="000000"/>
          <w:szCs w:val="24"/>
          <w:vertAlign w:val="superscript"/>
        </w:rPr>
        <w:t>-1</w:t>
      </w:r>
      <w:r>
        <w:rPr>
          <w:rFonts w:eastAsia="AdvEPSTIM" w:cs="Times New Roman"/>
          <w:color w:val="000000"/>
          <w:szCs w:val="24"/>
        </w:rPr>
        <w:t xml:space="preserve">) stands for the compaction length scale, which characterizes how a given sediment type will compact under its own weight. For simplicity and clarity, values of </w:t>
      </w:r>
      <w:r>
        <w:rPr>
          <w:rFonts w:eastAsia="AdvEPSTIM" w:cs="Times New Roman" w:ascii="Symbol" w:hAnsi="Symbol"/>
          <w:i/>
          <w:color w:val="000000"/>
          <w:szCs w:val="24"/>
        </w:rPr>
        <w:t></w:t>
      </w:r>
      <w:r>
        <w:rPr>
          <w:rFonts w:eastAsia="AdvEPSTIM" w:cs="Times New Roman"/>
          <w:color w:val="000000"/>
          <w:szCs w:val="24"/>
          <w:vertAlign w:val="subscript"/>
        </w:rPr>
        <w:t>0</w:t>
      </w:r>
      <w:r>
        <w:rPr>
          <w:rFonts w:eastAsia="AdvEPSTIM" w:cs="Times New Roman"/>
          <w:color w:val="000000"/>
          <w:szCs w:val="24"/>
        </w:rPr>
        <w:t xml:space="preserve"> and </w:t>
      </w:r>
      <w:r>
        <w:rPr>
          <w:rFonts w:eastAsia="AdvEPSTIM" w:cs="Times New Roman"/>
          <w:i/>
          <w:color w:val="000000"/>
          <w:szCs w:val="24"/>
        </w:rPr>
        <w:t>c</w:t>
      </w:r>
      <w:r>
        <w:rPr>
          <w:rFonts w:eastAsia="AdvEPSTIM" w:cs="Times New Roman"/>
          <w:color w:val="000000"/>
          <w:szCs w:val="24"/>
          <w:vertAlign w:val="subscript"/>
        </w:rPr>
        <w:t>0</w:t>
      </w:r>
      <w:r>
        <w:rPr>
          <w:rFonts w:eastAsia="AdvEPSTIM" w:cs="Times New Roman"/>
          <w:color w:val="000000"/>
          <w:szCs w:val="24"/>
        </w:rPr>
        <w:t xml:space="preserve"> were chosen to describe the shelf, margin and abyss based on sediments that are representative of these domains (</w:t>
      </w:r>
      <w:hyperlink w:anchor="_ENREF_18">
        <w:r>
          <w:rPr>
            <w:rStyle w:val="InternetLink"/>
            <w:rFonts w:eastAsia="AdvEPSTIM" w:cs="Times New Roman"/>
            <w:color w:val="000000"/>
            <w:szCs w:val="24"/>
          </w:rPr>
          <w:t>Hantschel and Kauerauf, 2009</w:t>
        </w:r>
      </w:hyperlink>
      <w:r>
        <w:rPr>
          <w:rFonts w:eastAsia="AdvEPSTIM" w:cs="Times New Roman"/>
          <w:color w:val="000000"/>
          <w:szCs w:val="24"/>
        </w:rPr>
        <w:t xml:space="preserve">) (see Table 2). </w:t>
      </w:r>
      <w:r>
        <w:rPr/>
        <w:t xml:space="preserve"> </w:t>
      </w:r>
    </w:p>
    <w:p>
      <w:pPr>
        <w:pStyle w:val="Normal"/>
        <w:jc w:val="both"/>
        <w:rPr>
          <w:rFonts w:eastAsia="Arial Unicode MS" w:cs="Times New Roman"/>
          <w:shd w:fill="FFFFFF" w:val="clear"/>
        </w:rPr>
      </w:pPr>
      <w:r>
        <w:rPr/>
        <w:tab/>
        <w:t xml:space="preserve">Quaternary sediments are divided into a bioturbated layer (top 10 cm) and non-bioturbated Holocene (&lt; 11,700 yrs) and Pleistocene (&lt; 2.59 Myrs or &lt; maximum sediment thickness) layers. </w:t>
      </w:r>
      <w:r>
        <w:rPr>
          <w:bCs/>
          <w:szCs w:val="21"/>
          <w:lang w:bidi="en-US"/>
        </w:rPr>
        <w:t xml:space="preserve">Equation (1) is then solved analytically assuming steady state conditions </w:t>
      </w:r>
      <w:r>
        <w:rPr>
          <w:bCs/>
          <w:szCs w:val="21"/>
          <w:lang w:bidi="en-US"/>
          <w:drawing>
            <wp:inline distT="0" distB="0" distL="0" distR="0">
              <wp:extent cx="821055" cy="41465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821055" cy="414655"/>
                      </a:xfrm>
                      <a:prstGeom prst="rect">
                        <a:avLst/>
                      </a:prstGeom>
                      <a:noFill/>
                      <a:ln w="9525">
                        <a:noFill/>
                        <a:miter lim="800000"/>
                        <a:headEnd/>
                        <a:tailEnd/>
                      </a:ln>
                    </pic:spPr>
                  </pic:pic>
                </a:graphicData>
              </a:graphic>
            </wp:inline>
          </w:drawing>
        </w:rPr>
      </w:r>
      <w:r>
        <w:rPr>
          <w:bCs/>
          <w:szCs w:val="21"/>
          <w:lang w:bidi="en-US"/>
        </w:rPr>
        <w:t xml:space="preserve"> for each layer, thus resolving long-term changes in boundary conditions while neglecting short-term variations. </w:t>
      </w:r>
      <w:r>
        <w:rPr>
          <w:rFonts w:cs="Times New Roman"/>
        </w:rPr>
        <w:t xml:space="preserve">A concentration condition is applied at the upper boundary while a zero gradient condition is appliedat the lower boundary. </w:t>
      </w:r>
      <w:r>
        <w:rPr>
          <w:bCs/>
          <w:szCs w:val="21"/>
          <w:lang w:bidi="en-US"/>
        </w:rPr>
        <w:t>Organic matter degradation ,</w:t>
      </w:r>
      <w:r>
        <w:rPr>
          <w:bCs/>
          <w:i/>
          <w:szCs w:val="21"/>
          <w:lang w:bidi="en-US"/>
        </w:rPr>
        <w:t>R</w:t>
      </w:r>
      <w:r>
        <w:rPr>
          <w:bCs/>
          <w:i/>
          <w:szCs w:val="21"/>
          <w:vertAlign w:val="subscript"/>
          <w:lang w:bidi="en-US"/>
        </w:rPr>
        <w:t>POC</w:t>
      </w:r>
      <w:r>
        <w:rPr>
          <w:bCs/>
          <w:szCs w:val="21"/>
          <w:lang w:bidi="en-US"/>
        </w:rPr>
        <w:t>, is described by a</w:t>
      </w:r>
      <w:r>
        <w:rPr/>
        <w:t xml:space="preserve"> reactive continuum model, RCM (Boudreau and Ruddick, 1991). The RCM assumes</w:t>
      </w:r>
      <w:r>
        <w:rPr>
          <w:rFonts w:eastAsia="Arial Unicode MS" w:cs="Times New Roman"/>
          <w:shd w:fill="FFFFFF" w:val="clear"/>
        </w:rPr>
        <w:t xml:space="preserve"> a continuous, yet dynamic distribution of organic matter compounds over a range of reactivities that encapsulates the decrease in apparent reactivity with depth/burial age as the most reactive compounds are successively degraded with two parameters. Within the RCM, the overall rate of organic matter degradation, </w:t>
      </w:r>
      <w:r>
        <w:rPr>
          <w:bCs/>
          <w:i/>
          <w:szCs w:val="21"/>
          <w:lang w:bidi="en-US"/>
        </w:rPr>
        <w:t>R</w:t>
      </w:r>
      <w:r>
        <w:rPr>
          <w:bCs/>
          <w:i/>
          <w:szCs w:val="21"/>
          <w:vertAlign w:val="subscript"/>
          <w:lang w:bidi="en-US"/>
        </w:rPr>
        <w:t>POC</w:t>
      </w:r>
      <w:r>
        <w:rPr>
          <w:rFonts w:eastAsia="Arial Unicode MS" w:cs="Times New Roman"/>
          <w:shd w:fill="FFFFFF" w:val="clear"/>
        </w:rPr>
        <w:t>, for a continuous distribution of organic compounds is given by the integral:</w:t>
      </w:r>
    </w:p>
    <w:p>
      <w:pPr>
        <w:pStyle w:val="Normal"/>
        <w:jc w:val="both"/>
        <w:rPr>
          <w:rFonts w:eastAsia="Arial Unicode MS" w:cs="Times New Roman"/>
          <w:shd w:fill="FFFFFF" w:val="clear"/>
        </w:rPr>
      </w:pPr>
      <w:r>
        <w:rPr>
          <w:rFonts w:eastAsia="Arial Unicode MS" w:cs="Times New Roman"/>
          <w:shd w:fill="FFFFFF" w:val="clear"/>
        </w:rPr>
      </w:r>
    </w:p>
    <w:p>
      <w:pPr>
        <w:pStyle w:val="Normal"/>
        <w:ind w:left="2880" w:right="0" w:firstLine="720"/>
        <w:jc w:val="both"/>
        <w:rPr>
          <w:rFonts w:eastAsia="Arial Unicode MS" w:cs="Times New Roman"/>
          <w:shd w:fill="FFFFFF" w:val="clear"/>
        </w:rPr>
      </w:pPr>
      <w:r>
        <w:rPr/>
        <w:pict>
          <v:rect id="shape_0" stroked="f" style="position:absolute;margin-left:0pt;margin-top:0pt;width:114.6pt;height:37.3pt">
            <v:imagedata r:id="rId4" detectmouseclick="t"/>
            <v:wrap v:type="none"/>
            <v:stroke color="#3465a4" joinstyle="round" endcap="flat"/>
          </v:rect>
        </w:pict>
      </w:r>
      <w:r>
        <w:rPr>
          <w:rFonts w:eastAsia="Arial Unicode MS" w:cs="Times New Roman"/>
          <w:shd w:fill="FFFFFF" w:val="clear"/>
        </w:rPr>
        <w:tab/>
        <w:tab/>
        <w:tab/>
        <w:tab/>
        <w:t>(5)</w:t>
      </w:r>
    </w:p>
    <w:p>
      <w:pPr>
        <w:pStyle w:val="Normal"/>
        <w:ind w:left="2880" w:right="0" w:firstLine="720"/>
        <w:jc w:val="both"/>
        <w:rPr>
          <w:rFonts w:eastAsia="Arial Unicode MS" w:cs="Times New Roman"/>
          <w:shd w:fill="FFFFFF" w:val="clear"/>
        </w:rPr>
      </w:pPr>
      <w:r>
        <w:rPr>
          <w:rFonts w:eastAsia="Arial Unicode MS" w:cs="Times New Roman"/>
          <w:shd w:fill="FFFFFF" w:val="clear"/>
        </w:rPr>
      </w:r>
    </w:p>
    <w:p>
      <w:pPr>
        <w:pStyle w:val="Normal"/>
        <w:jc w:val="both"/>
        <w:rPr>
          <w:rFonts w:eastAsia="Arial Unicode MS" w:cs="Times New Roman"/>
          <w:shd w:fill="FFFFFF" w:val="clear"/>
        </w:rPr>
      </w:pPr>
      <w:r>
        <w:rPr>
          <w:rFonts w:eastAsia="Arial Unicode MS" w:cs="Times New Roman"/>
          <w:shd w:fill="FFFFFF" w:val="clear"/>
        </w:rPr>
        <w:t>where </w:t>
      </w:r>
      <w:r>
        <w:rPr>
          <w:rFonts w:eastAsia="Arial Unicode MS" w:cs="Times New Roman"/>
          <w:i/>
          <w:iCs/>
          <w:shd w:fill="FFFFFF" w:val="clear"/>
        </w:rPr>
        <w:t>om</w:t>
      </w:r>
      <w:r>
        <w:rPr>
          <w:rFonts w:eastAsia="Arial Unicode MS" w:cs="Times New Roman"/>
          <w:shd w:fill="FFFFFF" w:val="clear"/>
        </w:rPr>
        <w:t>(</w:t>
      </w:r>
      <w:r>
        <w:rPr>
          <w:rFonts w:eastAsia="Arial Unicode MS" w:cs="Times New Roman"/>
          <w:i/>
          <w:iCs/>
          <w:shd w:fill="FFFFFF" w:val="clear"/>
        </w:rPr>
        <w:t>k</w:t>
      </w:r>
      <w:r>
        <w:rPr>
          <w:rFonts w:eastAsia="Arial Unicode MS" w:cs="Times New Roman"/>
          <w:shd w:fill="FFFFFF" w:val="clear"/>
        </w:rPr>
        <w:t>,</w:t>
      </w:r>
      <w:r>
        <w:rPr>
          <w:rFonts w:eastAsia="Arial Unicode MS" w:cs="Times New Roman"/>
          <w:i/>
          <w:iCs/>
          <w:shd w:fill="FFFFFF" w:val="clear"/>
        </w:rPr>
        <w:t>t</w:t>
      </w:r>
      <w:r>
        <w:rPr>
          <w:rFonts w:eastAsia="Arial Unicode MS" w:cs="Times New Roman"/>
          <w:shd w:fill="FFFFFF" w:val="clear"/>
        </w:rPr>
        <w:t>) denotes a probability density function that determines the concentration of organic matter having a degradability between </w:t>
      </w:r>
      <w:r>
        <w:rPr>
          <w:rFonts w:eastAsia="Arial Unicode MS" w:cs="Times New Roman"/>
          <w:i/>
          <w:iCs/>
          <w:shd w:fill="FFFFFF" w:val="clear"/>
        </w:rPr>
        <w:t>k</w:t>
      </w:r>
      <w:r>
        <w:rPr>
          <w:rFonts w:eastAsia="Arial Unicode MS" w:cs="Times New Roman"/>
          <w:shd w:fill="FFFFFF" w:val="clear"/>
        </w:rPr>
        <w:t> and </w:t>
      </w:r>
      <w:r>
        <w:rPr>
          <w:rFonts w:eastAsia="Arial Unicode MS" w:cs="Times New Roman"/>
          <w:i/>
          <w:iCs/>
          <w:shd w:fill="FFFFFF" w:val="clear"/>
        </w:rPr>
        <w:t>k</w:t>
      </w:r>
      <w:r>
        <w:rPr>
          <w:rFonts w:eastAsia="Arial Unicode MS" w:cs="Times New Roman"/>
          <w:shd w:fill="FFFFFF" w:val="clear"/>
        </w:rPr>
        <w:t> + </w:t>
      </w:r>
      <w:r>
        <w:rPr>
          <w:rFonts w:eastAsia="Arial Unicode MS" w:cs="Times New Roman"/>
          <w:i/>
          <w:iCs/>
          <w:shd w:fill="FFFFFF" w:val="clear"/>
        </w:rPr>
        <w:t>dk</w:t>
      </w:r>
      <w:r>
        <w:rPr>
          <w:rFonts w:eastAsia="Arial Unicode MS" w:cs="Times New Roman"/>
          <w:shd w:fill="FFFFFF" w:val="clear"/>
        </w:rPr>
        <w:t> at time </w:t>
      </w:r>
      <w:r>
        <w:rPr>
          <w:rFonts w:eastAsia="Arial Unicode MS" w:cs="Times New Roman"/>
          <w:i/>
          <w:iCs/>
          <w:shd w:fill="FFFFFF" w:val="clear"/>
        </w:rPr>
        <w:t>t</w:t>
      </w:r>
      <w:r>
        <w:rPr>
          <w:rFonts w:eastAsia="Arial Unicode MS" w:cs="Times New Roman"/>
          <w:iCs/>
          <w:shd w:fill="FFFFFF" w:val="clear"/>
        </w:rPr>
        <w:t xml:space="preserve">, with </w:t>
      </w:r>
      <w:r>
        <w:rPr>
          <w:rFonts w:eastAsia="Arial Unicode MS" w:cs="Times New Roman"/>
          <w:i/>
          <w:iCs/>
          <w:shd w:fill="FFFFFF" w:val="clear"/>
        </w:rPr>
        <w:t>k</w:t>
      </w:r>
      <w:r>
        <w:rPr>
          <w:rFonts w:eastAsia="Arial Unicode MS" w:cs="Times New Roman"/>
          <w:iCs/>
          <w:shd w:fill="FFFFFF" w:val="clear"/>
        </w:rPr>
        <w:t xml:space="preserve"> being analogous to a rate constant. </w:t>
      </w:r>
      <w:r>
        <w:rPr>
          <w:rFonts w:eastAsia="Arial Unicode MS" w:cs="Times New Roman"/>
          <w:shd w:fill="FFFFFF" w:val="clear"/>
        </w:rPr>
        <w:t xml:space="preserve">The initial distribution or organic compounds, </w:t>
      </w:r>
      <w:r>
        <w:rPr>
          <w:rFonts w:eastAsia="Arial Unicode MS" w:cs="Times New Roman"/>
          <w:i/>
          <w:iCs/>
          <w:shd w:fill="FFFFFF" w:val="clear"/>
        </w:rPr>
        <w:t>om</w:t>
      </w:r>
      <w:r>
        <w:rPr>
          <w:rFonts w:eastAsia="Arial Unicode MS" w:cs="Times New Roman"/>
          <w:shd w:fill="FFFFFF" w:val="clear"/>
        </w:rPr>
        <w:t>(</w:t>
      </w:r>
      <w:r>
        <w:rPr>
          <w:rFonts w:eastAsia="Arial Unicode MS" w:cs="Times New Roman"/>
          <w:i/>
          <w:iCs/>
          <w:shd w:fill="FFFFFF" w:val="clear"/>
        </w:rPr>
        <w:t>k,</w:t>
      </w:r>
      <w:r>
        <w:rPr>
          <w:rFonts w:eastAsia="Arial Unicode MS" w:cs="Times New Roman"/>
          <w:iCs/>
          <w:shd w:fill="FFFFFF" w:val="clear"/>
        </w:rPr>
        <w:t>0</w:t>
      </w:r>
      <w:r>
        <w:rPr>
          <w:rFonts w:eastAsia="Arial Unicode MS" w:cs="Times New Roman"/>
          <w:shd w:fill="FFFFFF" w:val="clear"/>
        </w:rPr>
        <w:t>), may take different mathematical forms, but cannot be inferred by observations. Here, a gamma function is used, as proposed by Boudreau and Ruddick (1991), following (</w:t>
      </w:r>
      <w:hyperlink w:anchor="_ENREF_1">
        <w:r>
          <w:rPr>
            <w:rStyle w:val="InternetLink"/>
            <w:rFonts w:eastAsia="Arial Unicode MS" w:cs="Times New Roman"/>
            <w:shd w:fill="FFFFFF" w:val="clear"/>
          </w:rPr>
          <w:t>Aris, 1968</w:t>
        </w:r>
      </w:hyperlink>
      <w:r>
        <w:rPr>
          <w:rFonts w:eastAsia="Arial Unicode MS" w:cs="Times New Roman"/>
          <w:shd w:fill="FFFFFF" w:val="clear"/>
        </w:rPr>
        <w:t>) and (</w:t>
      </w:r>
      <w:hyperlink w:anchor="_ENREF_21">
        <w:r>
          <w:rPr>
            <w:rStyle w:val="InternetLink"/>
            <w:rFonts w:eastAsia="Arial Unicode MS" w:cs="Times New Roman"/>
            <w:shd w:fill="FFFFFF" w:val="clear"/>
          </w:rPr>
          <w:t>Ho and Aris, 1987</w:t>
        </w:r>
      </w:hyperlink>
      <w:r>
        <w:rPr>
          <w:rFonts w:eastAsia="Arial Unicode MS" w:cs="Times New Roman"/>
          <w:shd w:fill="FFFFFF" w:val="clear"/>
        </w:rPr>
        <w:t>). Assuming first order degradation kinetics, the initial (at t=0) distribution of om over k is the given by:</w:t>
      </w:r>
    </w:p>
    <w:p>
      <w:pPr>
        <w:pStyle w:val="Normal"/>
        <w:jc w:val="both"/>
        <w:rPr>
          <w:rFonts w:eastAsia="Arial Unicode MS" w:cs="Times New Roman"/>
          <w:shd w:fill="FFFFFF" w:val="clear"/>
        </w:rPr>
      </w:pPr>
      <w:r>
        <w:rPr>
          <w:rFonts w:eastAsia="Arial Unicode MS" w:cs="Times New Roman"/>
          <w:shd w:fill="FFFFFF" w:val="clear"/>
        </w:rPr>
      </w:r>
    </w:p>
    <w:p>
      <w:pPr>
        <w:pStyle w:val="Normal"/>
        <w:jc w:val="both"/>
        <w:rPr>
          <w:rFonts w:eastAsia="Arial Unicode MS" w:cs="Times New Roman"/>
          <w:shd w:fill="FFFFFF" w:val="clear"/>
        </w:rPr>
      </w:pPr>
      <w:r>
        <w:rPr>
          <w:rFonts w:eastAsia="Arial Unicode MS" w:cs="Times New Roman"/>
          <w:shd w:fill="FFFFFF" w:val="clear"/>
        </w:rPr>
      </w:r>
    </w:p>
    <w:p>
      <w:pPr>
        <w:pStyle w:val="Normal"/>
        <w:jc w:val="both"/>
        <w:rPr>
          <w:rFonts w:eastAsia="Arial Unicode MS" w:cs="Times New Roman"/>
          <w:shd w:fill="FFFFFF" w:val="clear"/>
        </w:rPr>
      </w:pPr>
      <w:r>
        <w:rPr/>
        <w:drawing>
          <wp:inline distT="0" distB="0" distL="0" distR="0">
            <wp:extent cx="2812415" cy="4318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2812415" cy="431800"/>
                    </a:xfrm>
                    <a:prstGeom prst="rect">
                      <a:avLst/>
                    </a:prstGeom>
                    <a:noFill/>
                    <a:ln w="9525">
                      <a:noFill/>
                      <a:miter lim="800000"/>
                      <a:headEnd/>
                      <a:tailEnd/>
                    </a:ln>
                  </pic:spPr>
                </pic:pic>
              </a:graphicData>
            </a:graphic>
          </wp:inline>
        </w:drawing>
      </w:r>
      <w:r>
        <w:rPr>
          <w:rFonts w:eastAsia="Arial Unicode MS" w:cs="Times New Roman"/>
          <w:shd w:fill="FFFFFF" w:val="clear"/>
        </w:rPr>
        <w:t xml:space="preserve"> </w:t>
      </w:r>
    </w:p>
    <w:p>
      <w:pPr>
        <w:pStyle w:val="Normal"/>
        <w:jc w:val="both"/>
        <w:rPr>
          <w:rFonts w:eastAsia="Arial Unicode MS" w:cs="Times New Roman"/>
          <w:shd w:fill="FFFFFF" w:val="clear"/>
        </w:rPr>
      </w:pPr>
      <w:r>
        <w:rPr>
          <w:rFonts w:eastAsia="Arial Unicode MS" w:cs="Times New Roman"/>
          <w:shd w:fill="FFFFFF" w:val="clear"/>
        </w:rPr>
      </w:r>
    </w:p>
    <w:p>
      <w:pPr>
        <w:pStyle w:val="Normal"/>
        <w:tabs>
          <w:tab w:val="left" w:pos="284" w:leader="none"/>
        </w:tabs>
        <w:jc w:val="both"/>
        <w:rPr>
          <w:rFonts w:cs="Times New Roman"/>
        </w:rPr>
      </w:pPr>
      <w:r>
        <w:rPr>
          <w:rFonts w:cs="Times New Roman"/>
        </w:rPr>
        <w:t xml:space="preserve">where POC(0) is the initial organic matter content, Γ is the Gamma function, </w:t>
      </w:r>
      <w:r>
        <w:rPr>
          <w:rFonts w:cs="Times New Roman"/>
          <w:i/>
        </w:rPr>
        <w:t>a</w:t>
      </w:r>
      <w:r>
        <w:rPr>
          <w:rFonts w:cs="Times New Roman"/>
        </w:rPr>
        <w:t xml:space="preserve"> is the average live time of the more reactive components of the mixture and </w:t>
      </w:r>
      <w:r>
        <w:rPr>
          <w:rFonts w:cs="Times New Roman"/>
          <w:i/>
        </w:rPr>
        <w:t>υ</w:t>
      </w:r>
      <w:r>
        <w:rPr>
          <w:rFonts w:cs="Times New Roman"/>
        </w:rPr>
        <w:t xml:space="preserve"> is a dimensionless parameter determining the shape of the distribution near </w:t>
      </w:r>
      <w:r>
        <w:rPr>
          <w:rFonts w:cs="Times New Roman"/>
          <w:i/>
        </w:rPr>
        <w:t>k</w:t>
      </w:r>
      <w:r>
        <w:rPr>
          <w:rFonts w:cs="Times New Roman"/>
        </w:rPr>
        <w:t xml:space="preserve"> = 0. </w:t>
      </w:r>
      <w:r>
        <w:rPr>
          <w:rFonts w:eastAsia="Arial Unicode MS" w:cs="Times New Roman"/>
          <w:shd w:fill="FFFFFF" w:val="clear"/>
        </w:rPr>
        <w:t>The free, positive parameters </w:t>
      </w:r>
      <w:r>
        <w:rPr>
          <w:rFonts w:eastAsia="Arial Unicode MS" w:cs="Times New Roman"/>
          <w:i/>
          <w:iCs/>
          <w:shd w:fill="FFFFFF" w:val="clear"/>
        </w:rPr>
        <w:t>a</w:t>
      </w:r>
      <w:r>
        <w:rPr>
          <w:rFonts w:eastAsia="Arial Unicode MS" w:cs="Times New Roman"/>
          <w:shd w:fill="FFFFFF" w:val="clear"/>
        </w:rPr>
        <w:t> and </w:t>
      </w:r>
      <w:r>
        <w:rPr>
          <w:rFonts w:eastAsia="Arial Unicode MS" w:cs="Times New Roman" w:ascii="Symbol" w:hAnsi="Symbol"/>
          <w:i/>
          <w:shd w:fill="FFFFFF" w:val="clear"/>
        </w:rPr>
        <w:t></w:t>
      </w:r>
      <w:r>
        <w:rPr>
          <w:rFonts w:eastAsia="Arial Unicode MS" w:cs="Times New Roman"/>
          <w:shd w:fill="FFFFFF" w:val="clear"/>
        </w:rPr>
        <w:t> completely determine the shape of the initial distribution of organic matter compounds over the range of </w:t>
      </w:r>
      <w:r>
        <w:rPr>
          <w:rFonts w:eastAsia="Arial Unicode MS" w:cs="Times New Roman"/>
          <w:i/>
          <w:iCs/>
          <w:shd w:fill="FFFFFF" w:val="clear"/>
        </w:rPr>
        <w:t>k</w:t>
      </w:r>
      <w:r>
        <w:rPr>
          <w:rFonts w:eastAsia="Arial Unicode MS" w:cs="Times New Roman"/>
          <w:shd w:fill="FFFFFF" w:val="clear"/>
        </w:rPr>
        <w:t> values and thus the overall reactivity of POC. High </w:t>
      </w:r>
      <w:r>
        <w:rPr>
          <w:rFonts w:eastAsia="Arial Unicode MS" w:cs="Times New Roman" w:ascii="Symbol" w:hAnsi="Symbol"/>
          <w:i/>
          <w:shd w:fill="FFFFFF" w:val="clear"/>
        </w:rPr>
        <w:t></w:t>
      </w:r>
      <w:r>
        <w:rPr>
          <w:rFonts w:eastAsia="Arial Unicode MS" w:cs="Times New Roman"/>
          <w:shd w:fill="FFFFFF" w:val="clear"/>
        </w:rPr>
        <w:t> and low </w:t>
      </w:r>
      <w:r>
        <w:rPr>
          <w:rFonts w:eastAsia="Arial Unicode MS" w:cs="Times New Roman"/>
          <w:i/>
          <w:iCs/>
          <w:shd w:fill="FFFFFF" w:val="clear"/>
        </w:rPr>
        <w:t>a</w:t>
      </w:r>
      <w:r>
        <w:rPr>
          <w:rFonts w:eastAsia="Arial Unicode MS" w:cs="Times New Roman"/>
          <w:shd w:fill="FFFFFF" w:val="clear"/>
        </w:rPr>
        <w:t> values indicate a mixture of organics dominated by compounds that are typically degraded rapidly. Low </w:t>
      </w:r>
      <w:r>
        <w:rPr>
          <w:rFonts w:eastAsia="Arial Unicode MS" w:cs="Times New Roman" w:ascii="Symbol" w:hAnsi="Symbol"/>
          <w:i/>
          <w:shd w:fill="FFFFFF" w:val="clear"/>
        </w:rPr>
        <w:t></w:t>
      </w:r>
      <w:r>
        <w:rPr>
          <w:rFonts w:eastAsia="Arial Unicode MS" w:cs="Times New Roman"/>
          <w:shd w:fill="FFFFFF" w:val="clear"/>
        </w:rPr>
        <w:t> and high </w:t>
      </w:r>
      <w:r>
        <w:rPr>
          <w:rFonts w:eastAsia="Arial Unicode MS" w:cs="Times New Roman"/>
          <w:i/>
          <w:iCs/>
          <w:shd w:fill="FFFFFF" w:val="clear"/>
        </w:rPr>
        <w:t>a</w:t>
      </w:r>
      <w:r>
        <w:rPr>
          <w:rFonts w:eastAsia="Arial Unicode MS" w:cs="Times New Roman"/>
          <w:shd w:fill="FFFFFF" w:val="clear"/>
        </w:rPr>
        <w:t> values, on the other hand, indicate a larger fraction of less reactive compounds that degrade slowly. See Arndt et al. (2013) and the Appendix for a more in-depth description of these</w:t>
      </w:r>
      <w:r>
        <w:rPr>
          <w:rFonts w:cs="Times New Roman"/>
        </w:rPr>
        <w:t xml:space="preserve"> parameters. </w:t>
      </w:r>
    </w:p>
    <w:p>
      <w:pPr>
        <w:pStyle w:val="Normal"/>
        <w:tabs>
          <w:tab w:val="left" w:pos="284" w:leader="none"/>
        </w:tabs>
        <w:jc w:val="both"/>
        <w:rPr>
          <w:rFonts w:eastAsia="Arial Unicode MS" w:cs="Times New Roman"/>
          <w:shd w:fill="FFFFFF" w:val="clear"/>
        </w:rPr>
      </w:pPr>
      <w:r>
        <w:rPr>
          <w:rFonts w:eastAsia="Arial Unicode MS" w:cs="Times New Roman"/>
          <w:shd w:fill="FFFFFF" w:val="clear"/>
        </w:rPr>
        <w:t>Although the choice of the gamma function is partly guided by mathematical expedience, the gamma function has the advantage of capturing the organic matter degradation dynamics observed in nature.</w:t>
      </w:r>
      <w:r>
        <w:rPr>
          <w:rFonts w:cs="Times New Roman"/>
        </w:rPr>
        <w:t xml:space="preserve"> </w:t>
      </w:r>
      <w:r>
        <w:rPr>
          <w:rFonts w:eastAsia="Arial Unicode MS" w:cs="Times New Roman"/>
          <w:shd w:fill="FFFFFF" w:val="clear"/>
        </w:rPr>
        <w:t xml:space="preserve">Under these assumptions, the evolution of the bulk particulate organic carbon concentration as a function of depth, </w:t>
      </w:r>
      <w:r>
        <w:rPr>
          <w:rFonts w:eastAsia="Arial Unicode MS" w:cs="Times New Roman"/>
          <w:i/>
          <w:shd w:fill="FFFFFF" w:val="clear"/>
        </w:rPr>
        <w:t>POC</w:t>
      </w:r>
      <w:r>
        <w:rPr>
          <w:rFonts w:eastAsia="Arial Unicode MS" w:cs="Times New Roman"/>
          <w:shd w:fill="FFFFFF" w:val="clear"/>
        </w:rPr>
        <w:t>(</w:t>
      </w:r>
      <w:r>
        <w:rPr>
          <w:rFonts w:eastAsia="Arial Unicode MS" w:cs="Times New Roman"/>
          <w:i/>
          <w:shd w:fill="FFFFFF" w:val="clear"/>
        </w:rPr>
        <w:t>z</w:t>
      </w:r>
      <w:r>
        <w:rPr>
          <w:rFonts w:eastAsia="Arial Unicode MS" w:cs="Times New Roman"/>
          <w:shd w:fill="FFFFFF" w:val="clear"/>
        </w:rPr>
        <w:t>), is given by (Boudreau and Ruddick, 1991):</w:t>
      </w:r>
    </w:p>
    <w:p>
      <w:pPr>
        <w:pStyle w:val="Normal"/>
        <w:ind w:left="0" w:right="0" w:firstLine="720"/>
        <w:jc w:val="both"/>
        <w:rPr>
          <w:rFonts w:cs="Times New Roman"/>
        </w:rPr>
      </w:pPr>
      <w:r>
        <w:rPr>
          <w:rFonts w:cs="Times New Roman"/>
        </w:rPr>
      </w:r>
    </w:p>
    <w:p>
      <w:pPr>
        <w:pStyle w:val="Normal"/>
        <w:ind w:left="2160" w:right="0" w:firstLine="720"/>
        <w:jc w:val="both"/>
        <w:rPr>
          <w:rFonts w:cs="Times New Roman"/>
        </w:rPr>
      </w:pPr>
      <w:r>
        <w:rPr>
          <w:drawing>
            <wp:inline distT="0" distB="0" distL="0" distR="0">
              <wp:extent cx="2049145" cy="4826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2049145" cy="482600"/>
                      </a:xfrm>
                      <a:prstGeom prst="rect">
                        <a:avLst/>
                      </a:prstGeom>
                      <a:noFill/>
                      <a:ln w="9525">
                        <a:noFill/>
                        <a:miter lim="800000"/>
                        <a:headEnd/>
                        <a:tailEnd/>
                      </a:ln>
                    </pic:spPr>
                  </pic:pic>
                </a:graphicData>
              </a:graphic>
            </wp:inline>
          </w:drawing>
        </w:rPr>
      </w:r>
      <w:r>
        <w:rPr>
          <w:rFonts w:cs="Times New Roman"/>
        </w:rPr>
        <w:tab/>
        <w:tab/>
        <w:tab/>
        <w:t>(6)</w:t>
      </w:r>
    </w:p>
    <w:p>
      <w:pPr>
        <w:pStyle w:val="Normal"/>
        <w:jc w:val="both"/>
        <w:rPr/>
      </w:pPr>
      <w:r>
        <w:rPr/>
      </w:r>
    </w:p>
    <w:p>
      <w:pPr>
        <w:pStyle w:val="Normal"/>
        <w:jc w:val="both"/>
        <w:rPr>
          <w:rFonts w:cs="Times New Roman"/>
        </w:rPr>
      </w:pPr>
      <w:r>
        <w:rPr/>
        <w:t xml:space="preserve">where </w:t>
      </w:r>
      <w:r>
        <w:rPr>
          <w:i/>
        </w:rPr>
        <w:t>a</w:t>
      </w:r>
      <w:r>
        <w:rPr/>
        <w:t xml:space="preserve"> and </w:t>
      </w:r>
      <w:r>
        <w:rPr>
          <w:rFonts w:cs="Times New Roman"/>
          <w:i/>
        </w:rPr>
        <w:t>ν</w:t>
      </w:r>
      <w:r>
        <w:rPr/>
        <w:t xml:space="preserve"> represent reactive continuum model parameters (Boudreau and Ruddick, 1991; Arndt et al., 2013) and </w:t>
      </w:r>
      <w:r>
        <w:rPr>
          <w:i/>
        </w:rPr>
        <w:t>age</w:t>
      </w:r>
      <w:r>
        <w:rPr/>
        <w:t>(</w:t>
      </w:r>
      <w:r>
        <w:rPr>
          <w:i/>
        </w:rPr>
        <w:t>z</w:t>
      </w:r>
      <w:r>
        <w:rPr/>
        <w:t xml:space="preserve">) refers to the age of the sediment layer at depth </w:t>
      </w:r>
      <w:r>
        <w:rPr>
          <w:i/>
        </w:rPr>
        <w:t>z</w:t>
      </w:r>
      <w:r>
        <w:rPr/>
        <w:t xml:space="preserve">. While the RCM has proven successful in predicting the down core evolution of organic matter reactivity in deep sediments, its application to the bioturbated layer of the sediment is compromised by the difficulty of constraining the age of organic matter in bioturbated sediments.  </w:t>
      </w:r>
      <w:r>
        <w:rPr>
          <w:rFonts w:eastAsia="Calibri" w:cs="Times New Roman"/>
          <w:color w:val="000000"/>
          <w:lang w:eastAsia="de-DE"/>
        </w:rPr>
        <w:t xml:space="preserve">Meile and Van Cappellen, 2005 showed that, within the bioturbated zone, the </w:t>
      </w:r>
      <w:r>
        <w:rPr>
          <w:rFonts w:cs="Times New Roman"/>
        </w:rPr>
        <w:t xml:space="preserve">age distribution of reactive species are not only controlled by bioturbation and sedimentation but also by the reactivity of the reactive species. Similar to the approach proposed by Dale et al., 20XX, we here use a multi-G approximation of the RCM for the bioturbated sediment. Within the bioturbated zone, POC is represented by distinct fractions, </w:t>
      </w:r>
      <w:r>
        <w:rPr>
          <w:rFonts w:cs="Times New Roman"/>
          <w:i/>
        </w:rPr>
        <w:t>i=200</w:t>
      </w:r>
      <w:r>
        <w:rPr>
          <w:rFonts w:cs="Times New Roman"/>
        </w:rPr>
        <w:t xml:space="preserve">, each characterized by a first-order decay constant, </w:t>
      </w:r>
      <w:r>
        <w:rPr>
          <w:rFonts w:cs="Times New Roman"/>
          <w:i/>
        </w:rPr>
        <w:t>k</w:t>
      </w:r>
      <w:r>
        <w:rPr>
          <w:rFonts w:cs="Times New Roman"/>
          <w:i/>
          <w:vertAlign w:val="subscript"/>
        </w:rPr>
        <w:t>i</w:t>
      </w:r>
      <w:r>
        <w:rPr>
          <w:rFonts w:cs="Times New Roman"/>
        </w:rPr>
        <w:t xml:space="preserve">. The fraction of total organic matter in fraction </w:t>
      </w:r>
      <w:r>
        <w:rPr>
          <w:rFonts w:cs="Times New Roman"/>
          <w:vertAlign w:val="subscript"/>
        </w:rPr>
        <w:t>I</w:t>
      </w:r>
      <w:r>
        <w:rPr>
          <w:rFonts w:cs="Times New Roman"/>
        </w:rPr>
        <w:t xml:space="preserve">, </w:t>
      </w:r>
      <w:r>
        <w:rPr>
          <w:rFonts w:cs="Times New Roman"/>
          <w:i/>
        </w:rPr>
        <w:t>F</w:t>
      </w:r>
      <w:r>
        <w:rPr>
          <w:rFonts w:cs="Times New Roman"/>
          <w:i/>
          <w:vertAlign w:val="subscript"/>
        </w:rPr>
        <w:t>i</w:t>
      </w:r>
      <w:r>
        <w:rPr>
          <w:rFonts w:cs="Times New Roman"/>
        </w:rPr>
        <w:t>, as well as their respective reactivity, k</w:t>
      </w:r>
      <w:r>
        <w:rPr>
          <w:rFonts w:cs="Times New Roman"/>
          <w:vertAlign w:val="subscript"/>
        </w:rPr>
        <w:t>i</w:t>
      </w:r>
      <w:r>
        <w:rPr>
          <w:rFonts w:cs="Times New Roman"/>
        </w:rPr>
        <w:t xml:space="preserve">, can be determined through the initial </w:t>
      </w:r>
      <w:r>
        <w:rPr>
          <w:rFonts w:eastAsia="Arial Unicode MS" w:cs="Times New Roman"/>
          <w:shd w:fill="FFFFFF" w:val="clear"/>
        </w:rPr>
        <w:t>probability density function that determines the concentration of organic matter having a degradability between </w:t>
      </w:r>
      <w:r>
        <w:rPr>
          <w:rFonts w:eastAsia="Arial Unicode MS" w:cs="Times New Roman"/>
          <w:i/>
          <w:iCs/>
          <w:shd w:fill="FFFFFF" w:val="clear"/>
        </w:rPr>
        <w:t>k</w:t>
      </w:r>
      <w:r>
        <w:rPr>
          <w:rFonts w:eastAsia="Arial Unicode MS" w:cs="Times New Roman"/>
          <w:shd w:fill="FFFFFF" w:val="clear"/>
        </w:rPr>
        <w:t> and </w:t>
      </w:r>
      <w:r>
        <w:rPr>
          <w:rFonts w:eastAsia="Arial Unicode MS" w:cs="Times New Roman"/>
          <w:i/>
          <w:iCs/>
          <w:shd w:fill="FFFFFF" w:val="clear"/>
        </w:rPr>
        <w:t>k</w:t>
      </w:r>
      <w:r>
        <w:rPr>
          <w:rFonts w:eastAsia="Arial Unicode MS" w:cs="Times New Roman"/>
          <w:shd w:fill="FFFFFF" w:val="clear"/>
        </w:rPr>
        <w:t> + </w:t>
      </w:r>
      <w:r>
        <w:rPr>
          <w:rFonts w:eastAsia="Arial Unicode MS" w:cs="Times New Roman"/>
          <w:i/>
          <w:iCs/>
          <w:shd w:fill="FFFFFF" w:val="clear"/>
        </w:rPr>
        <w:t>dk</w:t>
      </w:r>
      <w:r>
        <w:rPr>
          <w:rFonts w:eastAsia="Arial Unicode MS" w:cs="Times New Roman"/>
          <w:shd w:fill="FFFFFF" w:val="clear"/>
        </w:rPr>
        <w:t> at time </w:t>
      </w:r>
      <w:r>
        <w:rPr>
          <w:rFonts w:eastAsia="Arial Unicode MS" w:cs="Times New Roman"/>
          <w:i/>
          <w:iCs/>
          <w:shd w:fill="FFFFFF" w:val="clear"/>
        </w:rPr>
        <w:t xml:space="preserve">0 </w:t>
      </w:r>
      <w:r>
        <w:rPr>
          <w:rFonts w:eastAsia="Arial Unicode MS" w:cs="Times New Roman"/>
          <w:iCs/>
          <w:shd w:fill="FFFFFF" w:val="clear"/>
        </w:rPr>
        <w:t xml:space="preserve">(eq. highlighted in yellow ). </w:t>
      </w:r>
      <w:r>
        <w:rPr>
          <w:rFonts w:cs="Times New Roman"/>
        </w:rPr>
        <w:t>The initial fraction of total POC characterized by a distinct reactivity k is given by:</w:t>
      </w:r>
    </w:p>
    <w:p>
      <w:pPr>
        <w:pStyle w:val="Normal"/>
        <w:rPr>
          <w:drawing>
            <wp:inline distT="0" distB="0" distL="0" distR="0">
              <wp:extent cx="838200" cy="4572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838200" cy="457200"/>
                      </a:xfrm>
                      <a:prstGeom prst="rect">
                        <a:avLst/>
                      </a:prstGeom>
                      <a:noFill/>
                      <a:ln w="9525">
                        <a:noFill/>
                        <a:miter lim="800000"/>
                        <a:headEnd/>
                        <a:tailEnd/>
                      </a:ln>
                    </pic:spPr>
                  </pic:pic>
                </a:graphicData>
              </a:graphic>
            </wp:inline>
          </w:drawing>
        </w:rPr>
      </w:pPr>
      <w:r>
        <w:rPr>
          <w:rFonts w:cs="Times New Roman"/>
          <w:position w:val="-11"/>
        </w:rPr>
        <w:t>f(k,0)=om(k,0)/POC(0)=</w:t>
      </w:r>
      <w:r>
        <w:rPr/>
        <w:t xml:space="preserve"> </w:t>
      </w:r>
      <w:r>
        <w:rPr>
          <w:drawing>
            <wp:inline distT="0" distB="0" distL="0" distR="0">
              <wp:extent cx="838200" cy="4572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838200" cy="457200"/>
                      </a:xfrm>
                      <a:prstGeom prst="rect">
                        <a:avLst/>
                      </a:prstGeom>
                      <a:noFill/>
                      <a:ln w="9525">
                        <a:noFill/>
                        <a:miter lim="800000"/>
                        <a:headEnd/>
                        <a:tailEnd/>
                      </a:ln>
                    </pic:spPr>
                  </pic:pic>
                </a:graphicData>
              </a:graphic>
            </wp:inline>
          </w:drawing>
        </w:rPr>
      </w:r>
    </w:p>
    <w:p>
      <w:pPr>
        <w:pStyle w:val="Normal"/>
        <w:jc w:val="both"/>
        <w:rPr>
          <w:rFonts w:cs="Times New Roman"/>
        </w:rPr>
      </w:pPr>
      <w:r>
        <w:rPr>
          <w:rFonts w:cs="Times New Roman"/>
        </w:rPr>
      </w:r>
    </w:p>
    <w:p>
      <w:pPr>
        <w:pStyle w:val="Normal"/>
        <w:jc w:val="both"/>
        <w:rPr>
          <w:rFonts w:cs="Times New Roman"/>
        </w:rPr>
      </w:pPr>
      <w:r>
        <w:rPr>
          <w:rFonts w:cs="Times New Roman"/>
        </w:rPr>
        <w:t>The initial fraction of POC within the reactivity range between 0 and k, i.e. having a reactivity &lt;=k is then given by integrating eq. (above) assuming that a, nu, k&gt;0:</w:t>
      </w:r>
    </w:p>
    <w:p>
      <w:pPr>
        <w:pStyle w:val="Normal"/>
        <w:jc w:val="both"/>
        <w:rPr>
          <w:rFonts w:cs="Times New Roman"/>
        </w:rPr>
      </w:pPr>
      <w:r>
        <w:rPr>
          <w:rFonts w:cs="Times New Roman"/>
        </w:rPr>
      </w:r>
    </w:p>
    <w:p>
      <w:pPr>
        <w:pStyle w:val="Normal"/>
        <w:jc w:val="both"/>
        <w:rPr>
          <w:rFonts w:cs="Times New Roman"/>
        </w:rPr>
      </w:pPr>
      <w:r>
        <w:rPr>
          <w:rFonts w:cs="Times New Roman"/>
        </w:rPr>
        <w:t>F(k,0)=</w:t>
      </w:r>
    </w:p>
    <w:p>
      <w:pPr>
        <w:pStyle w:val="Normal"/>
        <w:jc w:val="both"/>
        <w:rPr/>
      </w:pPr>
      <w:r>
        <w:rPr/>
        <w:drawing>
          <wp:inline distT="0" distB="0" distL="0" distR="0">
            <wp:extent cx="3771900" cy="50101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3771900" cy="501015"/>
                    </a:xfrm>
                    <a:prstGeom prst="rect">
                      <a:avLst/>
                    </a:prstGeom>
                    <a:noFill/>
                    <a:ln w="9525">
                      <a:noFill/>
                      <a:miter lim="800000"/>
                      <a:headEnd/>
                      <a:tailEnd/>
                    </a:ln>
                  </pic:spPr>
                </pic:pic>
              </a:graphicData>
            </a:graphic>
          </wp:inline>
        </w:drawing>
      </w:r>
    </w:p>
    <w:p>
      <w:pPr>
        <w:pStyle w:val="Normal"/>
        <w:jc w:val="both"/>
        <w:rPr>
          <w:rFonts w:cs="Times New Roman"/>
        </w:rPr>
      </w:pPr>
      <w:r>
        <w:rPr>
          <w:rFonts w:cs="Times New Roman"/>
        </w:rPr>
      </w:r>
    </w:p>
    <w:p>
      <w:pPr>
        <w:pStyle w:val="Normal"/>
        <w:rPr>
          <w:rFonts w:cs="Times New Roman"/>
        </w:rPr>
      </w:pPr>
      <w:r>
        <w:rPr>
          <w:rFonts w:cs="Times New Roman"/>
        </w:rPr>
        <w:t>=</w:t>
      </w:r>
      <w:r>
        <w:rPr>
          <w:rFonts w:cs="Times New Roman"/>
        </w:rPr>
        <w:drawing>
          <wp:inline distT="0" distB="0" distL="0" distR="0">
            <wp:extent cx="3750945" cy="62611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9"/>
                    <a:stretch>
                      <a:fillRect/>
                    </a:stretch>
                  </pic:blipFill>
                  <pic:spPr bwMode="auto">
                    <a:xfrm>
                      <a:off x="0" y="0"/>
                      <a:ext cx="3750945" cy="626110"/>
                    </a:xfrm>
                    <a:prstGeom prst="rect">
                      <a:avLst/>
                    </a:prstGeom>
                    <a:noFill/>
                    <a:ln w="9525">
                      <a:noFill/>
                      <a:miter lim="800000"/>
                      <a:headEnd/>
                      <a:tailEnd/>
                    </a:ln>
                  </pic:spPr>
                </pic:pic>
              </a:graphicData>
            </a:graphic>
          </wp:inline>
        </w:drawing>
      </w:r>
    </w:p>
    <w:p>
      <w:pPr>
        <w:pStyle w:val="Normal"/>
        <w:jc w:val="both"/>
        <w:rPr>
          <w:rFonts w:cs="Times New Roman"/>
        </w:rPr>
      </w:pPr>
      <w:r>
        <w:rPr>
          <w:rFonts w:cs="Times New Roman"/>
        </w:rPr>
      </w:r>
    </w:p>
    <w:p>
      <w:pPr>
        <w:pStyle w:val="Normal"/>
        <w:jc w:val="both"/>
        <w:rPr/>
      </w:pPr>
      <w:r>
        <w:rPr/>
        <w:drawing>
          <wp:inline distT="0" distB="0" distL="0" distR="0">
            <wp:extent cx="1671320" cy="56261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0"/>
                    <a:stretch>
                      <a:fillRect/>
                    </a:stretch>
                  </pic:blipFill>
                  <pic:spPr bwMode="auto">
                    <a:xfrm>
                      <a:off x="0" y="0"/>
                      <a:ext cx="1671320" cy="562610"/>
                    </a:xfrm>
                    <a:prstGeom prst="rect">
                      <a:avLst/>
                    </a:prstGeom>
                    <a:noFill/>
                    <a:ln w="9525">
                      <a:noFill/>
                      <a:miter lim="800000"/>
                      <a:headEnd/>
                      <a:tailEnd/>
                    </a:ln>
                  </pic:spPr>
                </pic:pic>
              </a:graphicData>
            </a:graphic>
          </wp:inline>
        </w:drawing>
      </w:r>
    </w:p>
    <w:p>
      <w:pPr>
        <w:pStyle w:val="Normal"/>
        <w:jc w:val="both"/>
        <w:rPr>
          <w:rFonts w:cs="Times New Roman"/>
        </w:rPr>
      </w:pPr>
      <w:r>
        <w:rPr>
          <w:rFonts w:cs="Times New Roman"/>
        </w:rPr>
      </w:r>
    </w:p>
    <w:p>
      <w:pPr>
        <w:pStyle w:val="Normal"/>
        <w:jc w:val="both"/>
        <w:rPr>
          <w:rFonts w:cs="Times New Roman"/>
        </w:rPr>
      </w:pPr>
      <w:r>
        <w:rPr>
          <w:rFonts w:cs="Times New Roman"/>
        </w:rPr>
        <w:t>where Γ(</w:t>
      </w:r>
      <w:r>
        <w:rPr>
          <w:rFonts w:cs="Times New Roman"/>
          <w:i/>
        </w:rPr>
        <w:t>ν</w:t>
      </w:r>
      <w:r>
        <w:rPr>
          <w:rFonts w:cs="Times New Roman"/>
        </w:rPr>
        <w:t xml:space="preserve">, ak) denotes the inverse Gamma function. </w:t>
      </w:r>
    </w:p>
    <w:p>
      <w:pPr>
        <w:pStyle w:val="Normal"/>
        <w:jc w:val="both"/>
        <w:rPr>
          <w:rFonts w:cs="Times New Roman"/>
        </w:rPr>
      </w:pPr>
      <w:r>
        <w:rPr>
          <w:rFonts w:cs="Times New Roman"/>
        </w:rPr>
        <w:t>In the bioturbated sediment, the RCM is then approximated by dividing the reactivity range k=[10</w:t>
      </w:r>
      <w:r>
        <w:rPr>
          <w:rFonts w:cs="Times New Roman"/>
          <w:vertAlign w:val="superscript"/>
        </w:rPr>
        <w:t>-15</w:t>
      </w:r>
      <w:r>
        <w:rPr>
          <w:rFonts w:cs="Times New Roman"/>
        </w:rPr>
        <w:t>, -log(a)+2] into 200 equal reactivity bins k</w:t>
      </w:r>
      <w:r>
        <w:rPr>
          <w:rFonts w:cs="Times New Roman"/>
          <w:vertAlign w:val="subscript"/>
        </w:rPr>
        <w:t>j</w:t>
      </w:r>
      <w:r>
        <w:rPr>
          <w:rFonts w:cs="Times New Roman"/>
        </w:rPr>
        <w:t xml:space="preserve"> thus ensuring that the Gamma function defined by the respective </w:t>
      </w:r>
      <w:r>
        <w:rPr>
          <w:rFonts w:cs="Times New Roman"/>
          <w:i/>
        </w:rPr>
        <w:t xml:space="preserve">a </w:t>
      </w:r>
      <w:r>
        <w:rPr>
          <w:rFonts w:cs="Times New Roman"/>
        </w:rPr>
        <w:t xml:space="preserve">and </w:t>
      </w:r>
      <w:r>
        <w:rPr>
          <w:rFonts w:cs="Times New Roman"/>
          <w:i/>
        </w:rPr>
        <w:t>ν</w:t>
      </w:r>
      <w:r>
        <w:rPr>
          <w:rFonts w:cs="Times New Roman"/>
        </w:rPr>
        <w:t xml:space="preserve"> values is efficiently approximated. The initial fraction F</w:t>
      </w:r>
      <w:r>
        <w:rPr>
          <w:rFonts w:cs="Times New Roman"/>
          <w:vertAlign w:val="subscript"/>
        </w:rPr>
        <w:t xml:space="preserve">i </w:t>
      </w:r>
      <w:r>
        <w:rPr>
          <w:rFonts w:cs="Times New Roman"/>
        </w:rPr>
        <w:t>of total POC within the reactivity bin k</w:t>
      </w:r>
      <w:r>
        <w:rPr>
          <w:rFonts w:cs="Times New Roman"/>
          <w:vertAlign w:val="subscript"/>
        </w:rPr>
        <w:t xml:space="preserve">j-1 </w:t>
      </w:r>
      <w:r>
        <w:rPr>
          <w:rFonts w:cs="Times New Roman"/>
        </w:rPr>
        <w:t>and k</w:t>
      </w:r>
      <w:r>
        <w:rPr>
          <w:rFonts w:cs="Times New Roman"/>
          <w:vertAlign w:val="subscript"/>
        </w:rPr>
        <w:t xml:space="preserve">j </w:t>
      </w:r>
      <w:r>
        <w:rPr>
          <w:rFonts w:cs="Times New Roman"/>
        </w:rPr>
        <w:t>(and thus with reactivity k</w:t>
      </w:r>
      <w:r>
        <w:rPr>
          <w:rFonts w:cs="Times New Roman"/>
          <w:vertAlign w:val="subscript"/>
        </w:rPr>
        <w:t>i</w:t>
      </w:r>
      <w:r>
        <w:rPr>
          <w:rFonts w:cs="Times New Roman"/>
        </w:rPr>
        <w:t>=k</w:t>
      </w:r>
      <w:r>
        <w:rPr>
          <w:rFonts w:cs="Times New Roman"/>
          <w:vertAlign w:val="subscript"/>
        </w:rPr>
        <w:t xml:space="preserve">j-1 </w:t>
      </w:r>
      <w:r>
        <w:rPr>
          <w:rFonts w:cs="Times New Roman"/>
        </w:rPr>
        <w:t>+( k</w:t>
      </w:r>
      <w:r>
        <w:rPr>
          <w:rFonts w:cs="Times New Roman"/>
          <w:vertAlign w:val="subscript"/>
        </w:rPr>
        <w:t xml:space="preserve">j </w:t>
      </w:r>
      <w:r>
        <w:rPr>
          <w:rFonts w:cs="Times New Roman"/>
        </w:rPr>
        <w:t>- k</w:t>
      </w:r>
      <w:r>
        <w:rPr>
          <w:rFonts w:cs="Times New Roman"/>
          <w:vertAlign w:val="subscript"/>
        </w:rPr>
        <w:t>j-1</w:t>
      </w:r>
      <w:r>
        <w:rPr>
          <w:rFonts w:cs="Times New Roman"/>
        </w:rPr>
        <w:t>)/2)</w:t>
      </w:r>
      <w:r>
        <w:rPr>
          <w:rFonts w:cs="Times New Roman"/>
          <w:vertAlign w:val="subscript"/>
        </w:rPr>
        <w:t xml:space="preserve"> </w:t>
      </w:r>
      <w:r>
        <w:rPr>
          <w:rFonts w:cs="Times New Roman"/>
        </w:rPr>
        <w:t>in the 200G model can the be calculated as:</w:t>
      </w:r>
    </w:p>
    <w:p>
      <w:pPr>
        <w:pStyle w:val="Normal"/>
        <w:jc w:val="both"/>
        <w:rPr>
          <w:rFonts w:cs="Times New Roman"/>
        </w:rPr>
      </w:pPr>
      <w:r>
        <w:rPr>
          <w:rFonts w:cs="Times New Roman"/>
        </w:rPr>
      </w:r>
    </w:p>
    <w:p>
      <w:pPr>
        <w:pStyle w:val="Normal"/>
        <w:jc w:val="both"/>
        <w:rPr>
          <w:rFonts w:cs="Times New Roman"/>
        </w:rPr>
      </w:pPr>
      <w:r>
        <w:rPr>
          <w:rFonts w:cs="Times New Roman"/>
        </w:rPr>
        <w:t>F</w:t>
      </w:r>
      <w:r>
        <w:rPr>
          <w:rFonts w:cs="Times New Roman"/>
          <w:vertAlign w:val="subscript"/>
        </w:rPr>
        <w:t>i</w:t>
      </w:r>
      <w:r>
        <w:rPr>
          <w:rFonts w:cs="Times New Roman"/>
        </w:rPr>
        <w:t>=F(k</w:t>
      </w:r>
      <w:r>
        <w:rPr>
          <w:rFonts w:cs="Times New Roman"/>
          <w:vertAlign w:val="subscript"/>
        </w:rPr>
        <w:t>j</w:t>
      </w:r>
      <w:r>
        <w:rPr>
          <w:rFonts w:cs="Times New Roman"/>
        </w:rPr>
        <w:t>,0)-F(k</w:t>
      </w:r>
      <w:r>
        <w:rPr>
          <w:rFonts w:cs="Times New Roman"/>
          <w:vertAlign w:val="subscript"/>
        </w:rPr>
        <w:t>j-1</w:t>
      </w:r>
      <w:r>
        <w:rPr>
          <w:rFonts w:cs="Times New Roman"/>
        </w:rPr>
        <w:t>,0)</w:t>
      </w:r>
    </w:p>
    <w:p>
      <w:pPr>
        <w:pStyle w:val="Normal"/>
        <w:jc w:val="both"/>
        <w:rPr>
          <w:rFonts w:cs="Times New Roman"/>
        </w:rPr>
      </w:pPr>
      <w:r>
        <w:rPr>
          <w:rFonts w:cs="Times New Roman"/>
        </w:rPr>
      </w:r>
    </w:p>
    <w:p>
      <w:pPr>
        <w:pStyle w:val="Normal"/>
        <w:jc w:val="both"/>
        <w:rPr>
          <w:rFonts w:cs="Times New Roman"/>
        </w:rPr>
      </w:pPr>
      <w:r>
        <w:rPr>
          <w:rFonts w:cs="Times New Roman"/>
        </w:rPr>
        <w:t>the most reactive fraction F</w:t>
      </w:r>
      <w:r>
        <w:rPr>
          <w:rFonts w:cs="Times New Roman"/>
          <w:vertAlign w:val="subscript"/>
        </w:rPr>
        <w:t>200</w:t>
      </w:r>
      <w:r>
        <w:rPr>
          <w:rFonts w:cs="Times New Roman"/>
        </w:rPr>
        <w:t xml:space="preserve"> with reactivity k</w:t>
      </w:r>
      <w:r>
        <w:rPr>
          <w:rFonts w:cs="Times New Roman"/>
          <w:vertAlign w:val="subscript"/>
        </w:rPr>
        <w:t>200</w:t>
      </w:r>
      <w:r>
        <w:rPr>
          <w:rFonts w:cs="Times New Roman"/>
        </w:rPr>
        <w:t>=10</w:t>
      </w:r>
      <w:r>
        <w:rPr>
          <w:rFonts w:cs="Times New Roman"/>
          <w:vertAlign w:val="superscript"/>
        </w:rPr>
        <w:t>-log(a)+2</w:t>
      </w:r>
      <w:r>
        <w:rPr>
          <w:rFonts w:cs="Times New Roman"/>
        </w:rPr>
        <w:t xml:space="preserve"> yr</w:t>
      </w:r>
      <w:r>
        <w:rPr>
          <w:rFonts w:cs="Times New Roman"/>
          <w:vertAlign w:val="superscript"/>
        </w:rPr>
        <w:t>-1</w:t>
      </w:r>
      <w:r>
        <w:rPr>
          <w:rFonts w:cs="Times New Roman"/>
        </w:rPr>
        <w:t xml:space="preserve"> is calculated on the basis of the upper incomplete Gamma function:</w:t>
      </w:r>
    </w:p>
    <w:p>
      <w:pPr>
        <w:pStyle w:val="Normal"/>
        <w:jc w:val="both"/>
        <w:rPr>
          <w:rFonts w:cs="Times New Roman"/>
        </w:rPr>
      </w:pPr>
      <w:r>
        <w:rPr>
          <w:rFonts w:cs="Times New Roman"/>
        </w:rPr>
      </w:r>
    </w:p>
    <w:p>
      <w:pPr>
        <w:pStyle w:val="Normal"/>
        <w:jc w:val="both"/>
        <w:rPr/>
      </w:pPr>
      <w:r>
        <w:rPr>
          <w:rFonts w:cs="Times New Roman"/>
        </w:rPr>
        <w:t>F</w:t>
      </w:r>
      <w:r>
        <w:rPr>
          <w:rFonts w:cs="Times New Roman"/>
          <w:vertAlign w:val="subscript"/>
        </w:rPr>
        <w:t>200</w:t>
      </w:r>
      <w:r>
        <w:rPr>
          <w:rFonts w:cs="Times New Roman"/>
        </w:rPr>
        <w:t>=</w:t>
      </w:r>
      <w:r>
        <w:rPr/>
        <w:t xml:space="preserve"> </w:t>
      </w:r>
      <w:r>
        <w:rPr/>
        <w:drawing>
          <wp:inline distT="0" distB="0" distL="0" distR="0">
            <wp:extent cx="3118485" cy="57594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1"/>
                    <a:stretch>
                      <a:fillRect/>
                    </a:stretch>
                  </pic:blipFill>
                  <pic:spPr bwMode="auto">
                    <a:xfrm>
                      <a:off x="0" y="0"/>
                      <a:ext cx="3118485" cy="575945"/>
                    </a:xfrm>
                    <a:prstGeom prst="rect">
                      <a:avLst/>
                    </a:prstGeom>
                    <a:noFill/>
                    <a:ln w="9525">
                      <a:noFill/>
                      <a:miter lim="800000"/>
                      <a:headEnd/>
                      <a:tailEnd/>
                    </a:ln>
                  </pic:spPr>
                </pic:pic>
              </a:graphicData>
            </a:graphic>
          </wp:inline>
        </w:drawing>
      </w:r>
    </w:p>
    <w:p>
      <w:pPr>
        <w:pStyle w:val="Normal"/>
        <w:jc w:val="both"/>
        <w:rPr>
          <w:rFonts w:cs="Times New Roman"/>
        </w:rPr>
      </w:pPr>
      <w:r>
        <w:rPr>
          <w:rFonts w:cs="Times New Roman"/>
        </w:rPr>
      </w:r>
    </w:p>
    <w:p>
      <w:pPr>
        <w:pStyle w:val="Normal"/>
        <w:jc w:val="both"/>
        <w:rPr/>
      </w:pPr>
      <w:r>
        <w:rPr/>
        <w:t xml:space="preserve"> </w:t>
      </w:r>
    </w:p>
    <w:p>
      <w:pPr>
        <w:pStyle w:val="Normal"/>
        <w:jc w:val="both"/>
        <w:rPr>
          <w:rFonts w:cs="Times New Roman"/>
        </w:rPr>
      </w:pPr>
      <w:r>
        <w:rPr>
          <w:rFonts w:cs="Times New Roman"/>
        </w:rPr>
      </w:r>
    </w:p>
    <w:p>
      <w:pPr>
        <w:pStyle w:val="Normal"/>
        <w:jc w:val="both"/>
        <w:rPr>
          <w:rFonts w:cs="Times New Roman"/>
        </w:rPr>
      </w:pPr>
      <w:r>
        <w:rPr>
          <w:rFonts w:cs="Times New Roman"/>
        </w:rPr>
        <w:t>Within the bioturbated zone, the depth evolution of POC is thus given by:</w:t>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pPr>
      <w:r>
        <w:rPr/>
      </w:r>
    </w:p>
    <w:p>
      <w:pPr>
        <w:pStyle w:val="Normal"/>
        <w:jc w:val="both"/>
        <w:rPr/>
      </w:pPr>
      <w:r>
        <w:rPr/>
      </w:r>
    </w:p>
    <w:p>
      <w:pPr>
        <w:pStyle w:val="Normal"/>
        <w:jc w:val="both"/>
        <w:rPr/>
      </w:pPr>
      <w:r>
        <w:rPr/>
        <w:t xml:space="preserve">Below the bioturbated zone, values of </w:t>
      </w:r>
      <w:r>
        <w:rPr>
          <w:i/>
        </w:rPr>
        <w:t>age</w:t>
      </w:r>
      <w:r>
        <w:rPr/>
        <w:t>(</w:t>
      </w:r>
      <w:r>
        <w:rPr>
          <w:i/>
        </w:rPr>
        <w:t>z</w:t>
      </w:r>
      <w:r>
        <w:rPr/>
        <w:t xml:space="preserve">) can be calculated using burial rates, </w:t>
      </w:r>
      <w:r>
        <w:rPr>
          <w:rFonts w:ascii="Symbol" w:hAnsi="Symbol"/>
          <w:i/>
        </w:rPr>
        <w:t></w:t>
      </w:r>
      <w:r>
        <w:rPr/>
        <w:t>(</w:t>
      </w:r>
      <w:r>
        <w:rPr>
          <w:i/>
        </w:rPr>
        <w:t>z</w:t>
      </w:r>
      <w:r>
        <w:rPr/>
        <w:t xml:space="preserve">), porosity depth profiles, </w:t>
      </w:r>
      <w:r>
        <w:rPr>
          <w:rFonts w:eastAsia="AdvEPSTIM" w:cs="Times New Roman" w:ascii="Symbol" w:hAnsi="Symbol"/>
          <w:i/>
          <w:szCs w:val="24"/>
        </w:rPr>
        <w:t></w:t>
      </w:r>
      <w:r>
        <w:rPr>
          <w:rFonts w:eastAsia="AdvEPSTIM" w:cs="Times New Roman"/>
          <w:szCs w:val="24"/>
        </w:rPr>
        <w:t>(</w:t>
      </w:r>
      <w:r>
        <w:rPr>
          <w:rFonts w:eastAsia="AdvEPSTIM" w:cs="Times New Roman"/>
          <w:i/>
          <w:szCs w:val="24"/>
        </w:rPr>
        <w:t>z</w:t>
      </w:r>
      <w:r>
        <w:rPr>
          <w:rFonts w:eastAsia="AdvEPSTIM" w:cs="Times New Roman"/>
          <w:szCs w:val="24"/>
        </w:rPr>
        <w:t>) and the apparent age of organic matter at the lower limit of the bioturbated zone, age</w:t>
      </w:r>
      <w:r>
        <w:rPr>
          <w:rFonts w:eastAsia="AdvEPSTIM" w:cs="Times New Roman"/>
          <w:szCs w:val="24"/>
          <w:vertAlign w:val="subscript"/>
        </w:rPr>
        <w:t>zbio</w:t>
      </w:r>
      <w:r>
        <w:rPr/>
        <w:t>, which can be calculated by inserting POC at zbio into eq. 6 and solving for the age:</w:t>
      </w:r>
    </w:p>
    <w:p>
      <w:pPr>
        <w:pStyle w:val="Normal"/>
        <w:jc w:val="both"/>
        <w:rPr/>
      </w:pPr>
      <w:r>
        <w:rPr/>
      </w:r>
    </w:p>
    <w:p>
      <w:pPr>
        <w:pStyle w:val="Normal"/>
        <w:jc w:val="both"/>
        <w:rPr/>
      </w:pPr>
      <w:r>
        <w:rPr/>
        <w:t>age</w:t>
      </w:r>
      <w:r>
        <w:rPr>
          <w:vertAlign w:val="subscript"/>
        </w:rPr>
        <w:t>zbio</w:t>
      </w:r>
      <w:r>
        <w:rPr/>
        <w:t>= -a*(exp(ln(POCbio/POC0)/nu)-1)/exp(ln(POCbio/POC0)/nu)</w:t>
      </w:r>
    </w:p>
    <w:p>
      <w:pPr>
        <w:pStyle w:val="Normal"/>
        <w:jc w:val="both"/>
        <w:rPr/>
      </w:pPr>
      <w:r>
        <w:rPr/>
      </w:r>
    </w:p>
    <w:p>
      <w:pPr>
        <w:pStyle w:val="Normal"/>
        <w:jc w:val="both"/>
        <w:rPr/>
      </w:pPr>
      <w:r>
        <w:rPr/>
        <w:t xml:space="preserve">Assuming an exponentially decreasing porosity, Eq. (1), and steady-state compaction, the burial velocity, </w:t>
      </w:r>
      <w:r>
        <w:rPr>
          <w:rFonts w:ascii="Symbol" w:hAnsi="Symbol"/>
          <w:i/>
        </w:rPr>
        <w:t></w:t>
      </w:r>
      <w:r>
        <w:rPr>
          <w:rFonts w:ascii="Symbol" w:hAnsi="Symbol"/>
        </w:rPr>
        <w:t></w:t>
      </w:r>
      <w:r>
        <w:rPr/>
        <w:t xml:space="preserve"> at depth </w:t>
      </w:r>
      <w:r>
        <w:rPr>
          <w:i/>
        </w:rPr>
        <w:t>z</w:t>
      </w:r>
      <w:r>
        <w:rPr/>
        <w:t xml:space="preserve"> is then (e.g., Berner, 1980):</w:t>
      </w:r>
    </w:p>
    <w:p>
      <w:pPr>
        <w:pStyle w:val="Normal"/>
        <w:jc w:val="both"/>
        <w:rPr/>
      </w:pPr>
      <w:r>
        <w:rPr/>
      </w:r>
    </w:p>
    <w:p>
      <w:pPr>
        <w:pStyle w:val="Normal"/>
        <w:ind w:left="2880" w:right="0" w:firstLine="720"/>
        <w:jc w:val="both"/>
        <w:rPr>
          <w:rFonts w:eastAsia="Arial Unicode MS" w:cs="Times New Roman"/>
          <w:shd w:fill="FFFFFF" w:val="clear"/>
        </w:rPr>
      </w:pPr>
      <w:r>
        <w:rPr/>
        <w:pict>
          <v:rect id="shape_0" stroked="f" style="position:absolute;margin-left:0pt;margin-top:0pt;width:97.3pt;height:35.95pt">
            <v:imagedata r:id="rId12" detectmouseclick="t"/>
            <v:wrap v:type="none"/>
            <v:stroke color="#3465a4" joinstyle="round" endcap="flat"/>
          </v:rect>
        </w:pict>
      </w:r>
      <w:r>
        <w:rPr>
          <w:rFonts w:eastAsia="Arial Unicode MS" w:cs="Times New Roman"/>
          <w:shd w:fill="FFFFFF" w:val="clear"/>
        </w:rPr>
        <w:tab/>
        <w:t xml:space="preserve"> </w:t>
        <w:tab/>
        <w:tab/>
        <w:tab/>
        <w:tab/>
        <w:t>(7)</w:t>
      </w:r>
    </w:p>
    <w:p>
      <w:pPr>
        <w:pStyle w:val="Normal"/>
        <w:ind w:left="2880" w:right="0" w:firstLine="720"/>
        <w:jc w:val="both"/>
        <w:rPr>
          <w:rFonts w:eastAsia="Arial Unicode MS" w:cs="Times New Roman"/>
          <w:shd w:fill="FFFFFF" w:val="clear"/>
        </w:rPr>
      </w:pPr>
      <w:r>
        <w:rPr>
          <w:rFonts w:eastAsia="Arial Unicode MS" w:cs="Times New Roman"/>
          <w:shd w:fill="FFFFFF" w:val="clear"/>
        </w:rPr>
      </w:r>
    </w:p>
    <w:p>
      <w:pPr>
        <w:pStyle w:val="Normal"/>
        <w:jc w:val="both"/>
        <w:rPr/>
      </w:pPr>
      <w:r>
        <w:rPr/>
        <w:t xml:space="preserve">where </w:t>
      </w:r>
      <w:r>
        <w:rPr>
          <w:rFonts w:eastAsia="AdvEPSTIM" w:cs="Times New Roman" w:ascii="Symbol" w:hAnsi="Symbol"/>
          <w:i/>
          <w:szCs w:val="24"/>
        </w:rPr>
        <w:t></w:t>
      </w:r>
      <w:r>
        <w:rPr>
          <w:rFonts w:eastAsia="AdvEPSTIM" w:cs="Times New Roman"/>
          <w:szCs w:val="24"/>
          <w:vertAlign w:val="subscript"/>
        </w:rPr>
        <w:t xml:space="preserve">0 </w:t>
      </w:r>
      <w:r>
        <w:rPr>
          <w:rFonts w:eastAsia="AdvEPSTIM" w:cs="Times New Roman"/>
          <w:szCs w:val="24"/>
        </w:rPr>
        <w:t xml:space="preserve">corresponds to the burial velocity at the SWI. </w:t>
      </w:r>
      <w:r>
        <w:rPr/>
        <w:t xml:space="preserve">The age of a given sediment layer at depth </w:t>
      </w:r>
      <w:r>
        <w:rPr>
          <w:i/>
        </w:rPr>
        <w:t>z</w:t>
      </w:r>
      <w:r>
        <w:rPr/>
        <w:t xml:space="preserve"> below the bioturbated zone, </w:t>
      </w:r>
      <w:r>
        <w:rPr>
          <w:i/>
        </w:rPr>
        <w:t>age</w:t>
      </w:r>
      <w:r>
        <w:rPr/>
        <w:t>(</w:t>
      </w:r>
      <w:r>
        <w:rPr>
          <w:i/>
        </w:rPr>
        <w:t>z</w:t>
      </w:r>
      <w:r>
        <w:rPr/>
        <w:t>), is given by (e.g., Berner, 1980):</w:t>
      </w:r>
    </w:p>
    <w:p>
      <w:pPr>
        <w:pStyle w:val="Normal"/>
        <w:jc w:val="both"/>
        <w:rPr/>
      </w:pPr>
      <w:r>
        <w:rPr/>
      </w:r>
    </w:p>
    <w:p>
      <w:pPr>
        <w:pStyle w:val="Normal"/>
        <w:ind w:left="2880" w:right="0" w:firstLine="720"/>
        <w:jc w:val="both"/>
        <w:rPr>
          <w:rFonts w:eastAsia="AdvEPSTIM" w:cs="Times New Roman"/>
          <w:szCs w:val="24"/>
        </w:rPr>
      </w:pPr>
      <w:r>
        <w:rPr/>
        <w:pict>
          <v:rect id="shape_0" stroked="f" style="position:absolute;margin-left:0pt;margin-top:0pt;width:82.6pt;height:37.3pt">
            <v:imagedata r:id="rId13" detectmouseclick="t"/>
            <v:wrap v:type="none"/>
            <v:stroke color="#3465a4" joinstyle="round" endcap="flat"/>
          </v:rect>
        </w:pict>
      </w:r>
      <w:r>
        <w:rPr/>
        <w:tab/>
        <w:tab/>
        <w:t>.</w:t>
        <w:tab/>
        <w:tab/>
        <w:tab/>
        <w:t>(8)</w:t>
      </w:r>
      <w:r>
        <w:rPr>
          <w:rFonts w:eastAsia="AdvEPSTIM" w:cs="Times New Roman"/>
          <w:szCs w:val="24"/>
        </w:rPr>
        <w:tab/>
      </w:r>
    </w:p>
    <w:p>
      <w:pPr>
        <w:pStyle w:val="Normal"/>
        <w:ind w:left="2880" w:right="0" w:firstLine="720"/>
        <w:jc w:val="both"/>
        <w:rPr/>
      </w:pPr>
      <w:r>
        <w:rPr/>
      </w:r>
    </w:p>
    <w:p>
      <w:pPr>
        <w:pStyle w:val="Normal"/>
        <w:jc w:val="both"/>
        <w:rPr/>
      </w:pPr>
      <w:r>
        <w:rPr/>
        <w:t>Substituting Eq. (7) into Eq. (8) results in</w:t>
      </w:r>
    </w:p>
    <w:p>
      <w:pPr>
        <w:pStyle w:val="Normal"/>
        <w:jc w:val="both"/>
        <w:rPr/>
      </w:pPr>
      <w:r>
        <w:rPr/>
      </w:r>
    </w:p>
    <w:p>
      <w:pPr>
        <w:pStyle w:val="Normal"/>
        <w:ind w:left="2160" w:right="0" w:firstLine="720"/>
        <w:jc w:val="both"/>
        <w:rPr>
          <w:rFonts w:eastAsia="Arial Unicode MS" w:cs="Times New Roman"/>
          <w:shd w:fill="FFFFFF" w:val="clear"/>
        </w:rPr>
      </w:pPr>
      <w:r>
        <w:rPr/>
        <w:pict>
          <v:rect id="shape_0" stroked="f" style="position:absolute;margin-left:0pt;margin-top:0pt;width:148.6pt;height:37.3pt">
            <v:imagedata r:id="rId14" detectmouseclick="t"/>
            <v:wrap v:type="none"/>
            <v:stroke color="#3465a4" joinstyle="round" endcap="flat"/>
          </v:rect>
        </w:pict>
      </w:r>
      <w:r>
        <w:rPr>
          <w:rFonts w:eastAsia="Arial Unicode MS" w:cs="Times New Roman"/>
          <w:shd w:fill="FFFFFF" w:val="clear"/>
        </w:rPr>
        <w:tab/>
        <w:tab/>
        <w:tab/>
        <w:tab/>
        <w:t>(9)</w:t>
      </w:r>
    </w:p>
    <w:p>
      <w:pPr>
        <w:pStyle w:val="Normal"/>
        <w:jc w:val="both"/>
        <w:rPr/>
      </w:pPr>
      <w:r>
        <w:rPr/>
      </w:r>
    </w:p>
    <w:p>
      <w:pPr>
        <w:pStyle w:val="Normal"/>
        <w:jc w:val="both"/>
        <w:rPr/>
      </w:pPr>
      <w:r>
        <w:rPr/>
        <w:t>which, upon integration, leads to</w:t>
      </w:r>
    </w:p>
    <w:p>
      <w:pPr>
        <w:pStyle w:val="Normal"/>
        <w:jc w:val="both"/>
        <w:rPr/>
      </w:pPr>
      <w:r>
        <w:rPr/>
      </w:r>
    </w:p>
    <w:p>
      <w:pPr>
        <w:pStyle w:val="Normal"/>
        <w:ind w:left="2160" w:right="0" w:firstLine="720"/>
        <w:jc w:val="both"/>
        <w:rPr/>
      </w:pPr>
      <w:r>
        <w:rPr/>
        <w:pict>
          <v:rect id="shape_0" stroked="f" style="position:absolute;margin-left:0pt;margin-top:0pt;width:135.3pt;height:51.3pt">
            <v:imagedata r:id="rId15" detectmouseclick="t"/>
            <v:wrap v:type="none"/>
            <v:stroke color="#3465a4" joinstyle="round" endcap="flat"/>
          </v:rect>
        </w:pict>
      </w:r>
      <w:r>
        <w:rPr/>
        <w:tab/>
        <w:tab/>
        <w:tab/>
        <w:tab/>
        <w:tab/>
        <w:t>(10)</w:t>
      </w:r>
    </w:p>
    <w:p>
      <w:pPr>
        <w:pStyle w:val="Normal"/>
        <w:jc w:val="both"/>
        <w:rPr>
          <w:rFonts w:eastAsia="Arial Unicode MS" w:cs="Times New Roman"/>
          <w:shd w:fill="FFFFFF" w:val="clear"/>
        </w:rPr>
      </w:pPr>
      <w:r>
        <w:rPr>
          <w:rFonts w:eastAsia="Arial Unicode MS" w:cs="Times New Roman"/>
          <w:shd w:fill="FFFFFF" w:val="clear"/>
        </w:rPr>
      </w:r>
    </w:p>
    <w:p>
      <w:pPr>
        <w:pStyle w:val="Normal"/>
        <w:jc w:val="both"/>
        <w:rPr>
          <w:rFonts w:eastAsia="Arial Unicode MS" w:cs="Times New Roman"/>
          <w:shd w:fill="FFFFFF" w:val="clear"/>
        </w:rPr>
      </w:pPr>
      <w:r>
        <w:rPr>
          <w:rFonts w:eastAsia="Arial Unicode MS" w:cs="Times New Roman"/>
          <w:shd w:fill="FFFFFF" w:val="clear"/>
        </w:rPr>
        <w:t>The age of POC below the bioturbated zone is thus given by :</w:t>
      </w:r>
    </w:p>
    <w:p>
      <w:pPr>
        <w:pStyle w:val="Normal"/>
        <w:jc w:val="both"/>
        <w:rPr/>
      </w:pPr>
      <w:r>
        <w:rPr/>
        <w:t>age(z)=agezbio+all the stuff from eq. 10 but with z=z-zbio</w:t>
      </w:r>
    </w:p>
    <w:p>
      <w:pPr>
        <w:pStyle w:val="Normal"/>
        <w:ind w:left="0" w:right="0" w:firstLine="720"/>
        <w:jc w:val="both"/>
        <w:rPr>
          <w:rFonts w:eastAsia="Arial Unicode MS" w:cs="Times New Roman"/>
          <w:shd w:fill="FFFFFF" w:val="clear"/>
        </w:rPr>
      </w:pPr>
      <w:r>
        <w:rPr>
          <w:rFonts w:eastAsia="Arial Unicode MS" w:cs="Times New Roman"/>
          <w:shd w:fill="FFFFFF" w:val="clear"/>
        </w:rPr>
      </w:r>
    </w:p>
    <w:p>
      <w:pPr>
        <w:pStyle w:val="Normal"/>
        <w:ind w:left="0" w:right="0" w:firstLine="720"/>
        <w:jc w:val="both"/>
        <w:rPr>
          <w:rFonts w:eastAsia="Arial Unicode MS" w:cs="Times New Roman"/>
          <w:shd w:fill="FFFFFF" w:val="clear"/>
        </w:rPr>
      </w:pPr>
      <w:r>
        <w:rPr>
          <w:rFonts w:eastAsia="Arial Unicode MS" w:cs="Times New Roman"/>
          <w:shd w:fill="FFFFFF" w:val="clear"/>
        </w:rPr>
        <w:t xml:space="preserve">The depth distribution of organic matter in marine sediments deposited since the beginning of the Quaternary Period can thus be calculated if the burial rate, porosity, bulk organic matter concentration at the SWI and the distribution of organic compounds across the reactivity range at the sediment-water interface is known and/or specified. </w:t>
      </w:r>
    </w:p>
    <w:p>
      <w:pPr>
        <w:pStyle w:val="Normal"/>
        <w:jc w:val="both"/>
        <w:rPr/>
      </w:pPr>
      <w:r>
        <w:rPr/>
      </w:r>
    </w:p>
    <w:p>
      <w:pPr>
        <w:pStyle w:val="Normal"/>
        <w:jc w:val="both"/>
        <w:rPr>
          <w:b/>
          <w:i/>
        </w:rPr>
      </w:pPr>
      <w:r>
        <w:rPr>
          <w:b/>
        </w:rPr>
        <w:t>2.2</w:t>
      </w:r>
      <w:r>
        <w:rPr>
          <w:i/>
        </w:rPr>
        <w:t xml:space="preserve"> </w:t>
      </w:r>
      <w:r>
        <w:rPr>
          <w:b/>
          <w:i/>
        </w:rPr>
        <w:t>Parameters and Forcings</w:t>
      </w:r>
    </w:p>
    <w:p>
      <w:pPr>
        <w:pStyle w:val="Normal"/>
        <w:ind w:left="0" w:right="0" w:firstLine="720"/>
        <w:jc w:val="both"/>
        <w:rPr/>
      </w:pPr>
      <w:r>
        <w:rPr/>
        <w:t xml:space="preserve">The concentration of Holocene and Pleistocene POC at the sediment water interface, </w:t>
      </w:r>
      <w:r>
        <w:rPr>
          <w:rFonts w:eastAsia="Arial Unicode MS" w:cs="Times New Roman"/>
          <w:i/>
          <w:shd w:fill="FFFFFF" w:val="clear"/>
        </w:rPr>
        <w:t>POC</w:t>
      </w:r>
      <w:r>
        <w:rPr>
          <w:rFonts w:eastAsia="Arial Unicode MS" w:cs="Times New Roman"/>
          <w:shd w:fill="FFFFFF" w:val="clear"/>
          <w:vertAlign w:val="subscript"/>
        </w:rPr>
        <w:t>0</w:t>
      </w:r>
      <w:r>
        <w:rPr/>
        <w:t xml:space="preserve">, and sedimentation rates, </w:t>
      </w:r>
      <w:r>
        <w:rPr>
          <w:rFonts w:ascii="Symbol" w:hAnsi="Symbol"/>
          <w:i/>
        </w:rPr>
        <w:t></w:t>
      </w:r>
      <w:r>
        <w:rPr/>
        <w:t>, are constrained according to (</w:t>
      </w:r>
      <w:hyperlink w:anchor="_ENREF_63">
        <w:r>
          <w:rPr>
            <w:rStyle w:val="InternetLink"/>
          </w:rPr>
          <w:t>Wallmann et al., 2012</w:t>
        </w:r>
      </w:hyperlink>
      <w:r>
        <w:rPr/>
        <w:t>) who used data from (</w:t>
      </w:r>
      <w:hyperlink w:anchor="_ENREF_48">
        <w:r>
          <w:rPr>
            <w:rStyle w:val="InternetLink"/>
          </w:rPr>
          <w:t>Seiter et al., 2004</w:t>
        </w:r>
      </w:hyperlink>
      <w:r>
        <w:rPr/>
        <w:t>) and (</w:t>
      </w:r>
      <w:hyperlink w:anchor="_ENREF_43">
        <w:r>
          <w:rPr>
            <w:rStyle w:val="InternetLink"/>
          </w:rPr>
          <w:t>Romankevich et al., 2009</w:t>
        </w:r>
      </w:hyperlink>
      <w:r>
        <w:rPr/>
        <w:t>) and an algorithm that correlates water depth and sedimentation rate (</w:t>
      </w:r>
      <w:hyperlink w:anchor="_ENREF_8">
        <w:r>
          <w:rPr>
            <w:rStyle w:val="InternetLink"/>
          </w:rPr>
          <w:t>Burwicz et al., 2011</w:t>
        </w:r>
      </w:hyperlink>
      <w:r>
        <w:rPr/>
        <w:t xml:space="preserve">). The global depositional fluxes, </w:t>
      </w:r>
      <w:r>
        <w:rPr>
          <w:i/>
        </w:rPr>
        <w:t>F</w:t>
      </w:r>
      <w:r>
        <w:rPr/>
        <w:t>, of POC are thus given by</w:t>
      </w:r>
    </w:p>
    <w:p>
      <w:pPr>
        <w:pStyle w:val="Normal"/>
        <w:ind w:left="0" w:right="0" w:firstLine="720"/>
        <w:jc w:val="both"/>
        <w:rPr/>
      </w:pPr>
      <w:r>
        <w:rPr/>
      </w:r>
    </w:p>
    <w:p>
      <w:pPr>
        <w:pStyle w:val="Normal"/>
        <w:ind w:left="2160" w:right="0" w:firstLine="720"/>
        <w:jc w:val="both"/>
        <w:rPr>
          <w:rFonts w:eastAsia="Arial Unicode MS" w:cs="Times New Roman"/>
          <w:shd w:fill="FFFFFF" w:val="clear"/>
        </w:rPr>
      </w:pPr>
      <w:r>
        <w:rPr/>
        <w:t xml:space="preserve"> </w:t>
      </w:r>
      <w:r>
        <w:rPr/>
        <w:tab/>
      </w:r>
      <w:commentRangeStart w:id="0"/>
      <w:r>
        <w:rPr/>
      </w:r>
      <w:r>
        <w:rPr/>
        <w:pict>
          <v:rect id="shape_0" stroked="f" style="position:absolute;margin-left:0pt;margin-top:0pt;width:97.95pt;height:18.6pt">
            <v:imagedata r:id="rId16" detectmouseclick="t"/>
            <v:wrap v:type="none"/>
            <v:stroke color="#3465a4" joinstyle="round" endcap="flat"/>
          </v:rect>
        </w:pict>
      </w:r>
      <w:r>
        <w:rPr>
          <w:rFonts w:eastAsia="Arial Unicode MS" w:cs="Times New Roman"/>
          <w:shd w:fill="FFFFFF" w:val="clear"/>
        </w:rPr>
        <w:tab/>
      </w:r>
      <w:commentRangeEnd w:id="0"/>
      <w:r>
        <w:rPr>
          <w:rFonts w:eastAsia="Arial Unicode MS" w:cs="Times New Roman"/>
          <w:shd w:fill="FFFFFF" w:val="clear"/>
        </w:rPr>
      </w:r>
      <w:r>
        <w:rPr>
          <w:rFonts w:eastAsia="Arial Unicode MS" w:cs="Times New Roman"/>
          <w:shd w:fill="FFFFFF" w:val="clear"/>
        </w:rPr>
        <w:commentReference w:id="0"/>
      </w:r>
      <w:r>
        <w:rPr>
          <w:rFonts w:eastAsia="Arial Unicode MS" w:cs="Times New Roman"/>
          <w:shd w:fill="FFFFFF" w:val="clear"/>
        </w:rPr>
        <w:tab/>
        <w:tab/>
        <w:tab/>
        <w:tab/>
        <w:t>(11)</w:t>
      </w:r>
    </w:p>
    <w:p>
      <w:pPr>
        <w:pStyle w:val="Normal"/>
        <w:jc w:val="both"/>
        <w:rPr/>
      </w:pPr>
      <w:r>
        <w:rPr/>
      </w:r>
    </w:p>
    <w:p>
      <w:pPr>
        <w:pStyle w:val="Normal"/>
        <w:jc w:val="both"/>
        <w:rPr/>
      </w:pPr>
      <w:r>
        <w:rPr/>
        <w:t xml:space="preserve">where </w:t>
      </w:r>
      <w:r>
        <w:rPr>
          <w:rFonts w:ascii="Symbol" w:hAnsi="Symbol"/>
          <w:i/>
        </w:rPr>
        <w:t></w:t>
      </w:r>
      <w:r>
        <w:rPr/>
        <w:t xml:space="preserve"> refers to the density of sediment, taken to be 2.5 g cm</w:t>
      </w:r>
      <w:r>
        <w:rPr>
          <w:vertAlign w:val="superscript"/>
        </w:rPr>
        <w:t>-3</w:t>
      </w:r>
      <w:r>
        <w:rPr/>
        <w:t xml:space="preserve">. Values of </w:t>
      </w:r>
      <w:r>
        <w:rPr>
          <w:i/>
        </w:rPr>
        <w:t>F</w:t>
      </w:r>
      <w:r>
        <w:rPr/>
        <w:t xml:space="preserve"> (Tg C yr</w:t>
      </w:r>
      <w:r>
        <w:rPr>
          <w:vertAlign w:val="superscript"/>
        </w:rPr>
        <w:t>-1</w:t>
      </w:r>
      <w:r>
        <w:rPr/>
        <w:t xml:space="preserve">) for the shelf, margin and abyss domains for Holocene and Pleistocene sediments are given in Table 1 and maps of the fluxes of POC to the SWI during the Holocene and Pleistocene are shown in Fig. 2. </w:t>
      </w:r>
    </w:p>
    <w:p>
      <w:pPr>
        <w:pStyle w:val="Normal"/>
        <w:ind w:left="0" w:right="0" w:firstLine="720"/>
        <w:jc w:val="both"/>
        <w:rPr>
          <w:rFonts w:cs="Times New Roman"/>
        </w:rPr>
      </w:pPr>
      <w:r>
        <w:rPr>
          <w:rFonts w:cs="Times New Roman"/>
        </w:rPr>
        <w:t xml:space="preserve">The reactivity of organic matter deposited onto the seafloor and its evolution during burial is notoriously difficult to constrain. The heterotrophic degradation of organic matter involves a plethora of different organisms that degrade a wide range of organic compounds under varying environmental conditions, using a number of different terminal electron acceptors and producing a large range of different product compounds. Therefore, attempts to </w:t>
      </w:r>
      <w:r>
        <w:rPr>
          <w:rFonts w:cs="Times New Roman"/>
          <w:szCs w:val="24"/>
        </w:rPr>
        <w:t>identify statistically significant relationships between organic matter degradation rate constants and individual factors such as water depth, deposition rate, or organic matter flux have not been very successful. None of these variables serves as a master proxy for all of the chemical, physical and biological factors that control organic matter degradation. As a result, a global scale analysis of sedimentary organic matter degradation cannot be reduced to a single factor.</w:t>
      </w:r>
      <w:r>
        <w:rPr>
          <w:rFonts w:cs="Times New Roman"/>
          <w:color w:val="2E2E2E"/>
          <w:szCs w:val="24"/>
        </w:rPr>
        <w:t xml:space="preserve"> </w:t>
      </w:r>
      <w:r>
        <w:rPr>
          <w:rFonts w:cs="Times New Roman"/>
        </w:rPr>
        <w:t xml:space="preserve">In general, the organic matter reactivity parameters of the 1G-model, </w:t>
      </w:r>
      <w:r>
        <w:rPr>
          <w:rFonts w:cs="Times New Roman"/>
          <w:i/>
        </w:rPr>
        <w:t>k</w:t>
      </w:r>
      <w:r>
        <w:rPr>
          <w:rFonts w:cs="Times New Roman"/>
        </w:rPr>
        <w:t xml:space="preserve">, and the RCM, </w:t>
      </w:r>
      <w:r>
        <w:rPr>
          <w:rFonts w:eastAsia="Arial Unicode MS" w:cs="Times New Roman"/>
          <w:i/>
          <w:iCs/>
          <w:shd w:fill="FFFFFF" w:val="clear"/>
        </w:rPr>
        <w:t>a</w:t>
      </w:r>
      <w:r>
        <w:rPr>
          <w:rFonts w:eastAsia="Arial Unicode MS" w:cs="Times New Roman"/>
          <w:shd w:fill="FFFFFF" w:val="clear"/>
        </w:rPr>
        <w:t> and </w:t>
      </w:r>
      <w:r>
        <w:rPr>
          <w:rFonts w:eastAsia="Arial Unicode MS" w:cs="Times New Roman" w:ascii="Symbol" w:hAnsi="Symbol"/>
          <w:i/>
          <w:shd w:fill="FFFFFF" w:val="clear"/>
        </w:rPr>
        <w:t></w:t>
      </w:r>
      <w:r>
        <w:rPr>
          <w:rFonts w:eastAsia="Arial Unicode MS" w:cs="Times New Roman"/>
          <w:shd w:fill="FFFFFF" w:val="clear"/>
        </w:rPr>
        <w:t xml:space="preserve">, </w:t>
      </w:r>
      <w:r>
        <w:rPr>
          <w:rFonts w:cs="Times New Roman"/>
        </w:rPr>
        <w:t xml:space="preserve">are determined by finding a best fit to observed POC and pore-water profiles at specific sites (e.g., Arndt et al., 2013). There is currently no general framework that can be used to estimate these parameters on a global scale. Consequently, organic matter reactivities are associated with large uncertainties. </w:t>
      </w:r>
    </w:p>
    <w:p>
      <w:pPr>
        <w:pStyle w:val="Normal"/>
        <w:ind w:left="0" w:right="0" w:firstLine="720"/>
        <w:jc w:val="both"/>
        <w:rPr>
          <w:shd w:fill="FFFFFF" w:val="clear"/>
        </w:rPr>
      </w:pPr>
      <w:r>
        <w:rPr>
          <w:rFonts w:cs="Times New Roman"/>
        </w:rPr>
        <w:t xml:space="preserve">Here, we constrain a minimum and maximum reactivity parameter set for each environment based on the lower and upper bounds of published values (see Arndt et al., 2013 for review). A well-known effort to constrain values of </w:t>
      </w:r>
      <w:r>
        <w:rPr>
          <w:rFonts w:eastAsia="Arial Unicode MS" w:cs="Times New Roman" w:ascii="Symbol" w:hAnsi="Symbol"/>
          <w:i/>
          <w:shd w:fill="FFFFFF" w:val="clear"/>
        </w:rPr>
        <w:t></w:t>
      </w:r>
      <w:r>
        <w:rPr>
          <w:rFonts w:eastAsia="Arial Unicode MS" w:cs="Times New Roman"/>
          <w:shd w:fill="FFFFFF" w:val="clear"/>
        </w:rPr>
        <w:t xml:space="preserve">, based on an analysis of eight sediment cores from very different environments, concluded that the majority of the sediments are dominated by refractory components, as reflected by low </w:t>
      </w:r>
      <w:r>
        <w:rPr>
          <w:rFonts w:eastAsia="Arial Unicode MS" w:cs="Times New Roman" w:ascii="Symbol" w:hAnsi="Symbol"/>
          <w:i/>
          <w:shd w:fill="FFFFFF" w:val="clear"/>
        </w:rPr>
        <w:t></w:t>
      </w:r>
      <w:r>
        <w:rPr>
          <w:rFonts w:eastAsia="Arial Unicode MS" w:cs="Times New Roman"/>
          <w:shd w:fill="FFFFFF" w:val="clear"/>
        </w:rPr>
        <w:t xml:space="preserve"> parameters, between 0.1 and 0.2, while the rest are characterized by higher </w:t>
      </w:r>
      <w:r>
        <w:rPr>
          <w:rFonts w:eastAsia="Arial Unicode MS" w:cs="Times New Roman" w:ascii="Symbol" w:hAnsi="Symbol"/>
          <w:i/>
          <w:shd w:fill="FFFFFF" w:val="clear"/>
        </w:rPr>
        <w:t></w:t>
      </w:r>
      <w:r>
        <w:rPr>
          <w:rFonts w:eastAsia="Arial Unicode MS" w:cs="Times New Roman"/>
          <w:shd w:fill="FFFFFF" w:val="clear"/>
        </w:rPr>
        <w:t xml:space="preserve"> parameters, between 0.8 and 1.0 (</w:t>
      </w:r>
      <w:hyperlink w:anchor="_ENREF_7">
        <w:r>
          <w:rPr>
            <w:rStyle w:val="InternetLink"/>
            <w:rFonts w:eastAsia="Arial Unicode MS" w:cs="Times New Roman"/>
            <w:shd w:fill="FFFFFF" w:val="clear"/>
          </w:rPr>
          <w:t>Boudreau and Ruddick, 1991</w:t>
        </w:r>
      </w:hyperlink>
      <w:r>
        <w:rPr>
          <w:rFonts w:eastAsia="Arial Unicode MS" w:cs="Times New Roman"/>
          <w:shd w:fill="FFFFFF" w:val="clear"/>
        </w:rPr>
        <w:t>).</w:t>
      </w:r>
      <w:r>
        <w:rPr>
          <w:rFonts w:cs="Times New Roman"/>
        </w:rPr>
        <w:t xml:space="preserve"> </w:t>
      </w:r>
      <w:r>
        <w:rPr>
          <w:rFonts w:eastAsia="Arial Unicode MS" w:cs="Times New Roman"/>
          <w:shd w:fill="FFFFFF" w:val="clear"/>
        </w:rPr>
        <w:t>As these authors note, more data are needed to confirm such a trend and to determine its underlying causes. Because the </w:t>
      </w:r>
      <w:r>
        <w:rPr>
          <w:rFonts w:eastAsia="Arial Unicode MS" w:cs="Times New Roman"/>
          <w:i/>
          <w:iCs/>
          <w:shd w:fill="FFFFFF" w:val="clear"/>
        </w:rPr>
        <w:t>a</w:t>
      </w:r>
      <w:r>
        <w:rPr>
          <w:rFonts w:eastAsia="Arial Unicode MS" w:cs="Times New Roman"/>
          <w:shd w:fill="FFFFFF" w:val="clear"/>
        </w:rPr>
        <w:t> parameter is conceptually related to the average age of the organic matter at the SWI, its value should correlate with factors that control the transit time of organic matter from the euphotic layer to the seafloor. In general, this is the case:  </w:t>
      </w:r>
      <w:r>
        <w:rPr>
          <w:rFonts w:eastAsia="Arial Unicode MS" w:cs="Times New Roman"/>
          <w:i/>
          <w:iCs/>
          <w:shd w:fill="FFFFFF" w:val="clear"/>
        </w:rPr>
        <w:t>a</w:t>
      </w:r>
      <w:r>
        <w:rPr>
          <w:rFonts w:eastAsia="Arial Unicode MS" w:cs="Times New Roman"/>
          <w:shd w:fill="FFFFFF" w:val="clear"/>
        </w:rPr>
        <w:t xml:space="preserve"> increases with increasing water depths and decreasing deposition rates, although it should be emphasized that the number of RCM parameter determinations is still limited and variability remains significant, especially at low deposition rates. For instance, </w:t>
      </w:r>
      <w:r>
        <w:rPr>
          <w:rFonts w:cs="Times New Roman"/>
        </w:rPr>
        <w:t xml:space="preserve">published values of </w:t>
      </w:r>
      <w:r>
        <w:rPr>
          <w:rFonts w:cs="Times New Roman"/>
          <w:i/>
        </w:rPr>
        <w:t>a</w:t>
      </w:r>
      <w:r>
        <w:rPr>
          <w:rFonts w:cs="Times New Roman"/>
        </w:rPr>
        <w:t xml:space="preserve"> vary over several orders of magnitude from 1e-4-100 yrs for shelf environments and up to 10,000 yrs for deep sediments (Arndt et al., 2013)</w:t>
      </w:r>
      <w:r>
        <w:rPr>
          <w:rFonts w:eastAsia="Arial Unicode MS" w:cs="Times New Roman"/>
          <w:shd w:fill="FFFFFF" w:val="clear"/>
        </w:rPr>
        <w:t xml:space="preserve">. In summary, values of the </w:t>
      </w:r>
      <w:r>
        <w:rPr>
          <w:i/>
          <w:iCs/>
          <w:shd w:fill="FFFFFF" w:val="clear"/>
        </w:rPr>
        <w:t>a</w:t>
      </w:r>
      <w:r>
        <w:rPr>
          <w:shd w:fill="FFFFFF" w:val="clear"/>
        </w:rPr>
        <w:t> and </w:t>
      </w:r>
      <w:r>
        <w:rPr>
          <w:rFonts w:ascii="Symbol" w:hAnsi="Symbol"/>
          <w:i/>
          <w:shd w:fill="FFFFFF" w:val="clear"/>
        </w:rPr>
        <w:t></w:t>
      </w:r>
      <w:r>
        <w:rPr>
          <w:shd w:fill="FFFFFF" w:val="clear"/>
        </w:rPr>
        <w:t xml:space="preserve"> parameters are not known </w:t>
      </w:r>
      <w:r>
        <w:rPr>
          <w:i/>
          <w:shd w:fill="FFFFFF" w:val="clear"/>
        </w:rPr>
        <w:t>a priori</w:t>
      </w:r>
      <w:r>
        <w:rPr>
          <w:shd w:fill="FFFFFF" w:val="clear"/>
        </w:rPr>
        <w:t>, and must be estimated based on the type of material being deposited on the seafloor.</w:t>
      </w:r>
    </w:p>
    <w:p>
      <w:pPr>
        <w:pStyle w:val="Normal"/>
        <w:ind w:left="0" w:right="0" w:firstLine="720"/>
        <w:jc w:val="both"/>
        <w:rPr>
          <w:rFonts w:eastAsia="Arial Unicode MS" w:cs="Times New Roman"/>
          <w:iCs/>
          <w:shd w:fill="FFFFFF" w:val="clear"/>
        </w:rPr>
      </w:pPr>
      <w:r>
        <w:rPr>
          <w:rFonts w:eastAsia="Times New Roman"/>
        </w:rPr>
        <w:t>Following the</w:t>
      </w:r>
      <w:r>
        <w:rPr>
          <w:shd w:fill="FFFFFF" w:val="clear"/>
        </w:rPr>
        <w:t xml:space="preserve"> porosity model described above, values of </w:t>
      </w:r>
      <w:r>
        <w:rPr>
          <w:i/>
          <w:iCs/>
          <w:shd w:fill="FFFFFF" w:val="clear"/>
        </w:rPr>
        <w:t>a</w:t>
      </w:r>
      <w:r>
        <w:rPr>
          <w:shd w:fill="FFFFFF" w:val="clear"/>
        </w:rPr>
        <w:t> and </w:t>
      </w:r>
      <w:r>
        <w:rPr>
          <w:rFonts w:ascii="Symbol" w:hAnsi="Symbol"/>
          <w:i/>
          <w:shd w:fill="FFFFFF" w:val="clear"/>
        </w:rPr>
        <w:t></w:t>
      </w:r>
      <w:r>
        <w:rPr>
          <w:shd w:fill="FFFFFF" w:val="clear"/>
        </w:rPr>
        <w:t xml:space="preserve"> are specified for three types of oceanic sediment: </w:t>
      </w:r>
      <w:r>
        <w:rPr>
          <w:rFonts w:cs="Times New Roman"/>
        </w:rPr>
        <w:t>shelf, margin and abyss. Although this is a rather simplistic assumption, it effectively resolves differences in the first-order characteristics that describe each of these environments, including the predominant type of organic matter, transit time through the water column and pre-aging effects</w:t>
      </w:r>
      <w:r>
        <w:rPr>
          <w:rFonts w:eastAsia="Arial Unicode MS" w:cs="Times New Roman"/>
          <w:shd w:fill="FFFFFF" w:val="clear"/>
        </w:rPr>
        <w:t xml:space="preserve">. Using a recent review of marine sediment organic matter degradation models published in the literature </w:t>
      </w:r>
      <w:r>
        <w:rPr>
          <w:rFonts w:cs="Times New Roman"/>
        </w:rPr>
        <w:t>(Arndt et al., 2013)</w:t>
      </w:r>
      <w:r>
        <w:rPr>
          <w:rFonts w:eastAsia="Arial Unicode MS" w:cs="Times New Roman"/>
          <w:shd w:fill="FFFFFF" w:val="clear"/>
        </w:rPr>
        <w:t xml:space="preserve">, a plausible set of high and low sets of </w:t>
      </w:r>
      <w:r>
        <w:rPr>
          <w:rFonts w:eastAsia="Arial Unicode MS" w:cs="Times New Roman"/>
          <w:i/>
          <w:iCs/>
          <w:shd w:fill="FFFFFF" w:val="clear"/>
        </w:rPr>
        <w:t>a</w:t>
      </w:r>
      <w:r>
        <w:rPr>
          <w:rFonts w:eastAsia="Arial Unicode MS" w:cs="Times New Roman"/>
          <w:shd w:fill="FFFFFF" w:val="clear"/>
        </w:rPr>
        <w:t> and </w:t>
      </w:r>
      <w:r>
        <w:rPr>
          <w:rFonts w:ascii="Symbol" w:hAnsi="Symbol"/>
          <w:i/>
          <w:shd w:fill="FFFFFF" w:val="clear"/>
        </w:rPr>
        <w:t></w:t>
      </w:r>
      <w:r>
        <w:rPr>
          <w:rFonts w:eastAsia="Arial Unicode MS" w:cs="Times New Roman"/>
          <w:i/>
          <w:iCs/>
          <w:shd w:fill="FFFFFF" w:val="clear"/>
        </w:rPr>
        <w:t xml:space="preserve"> </w:t>
      </w:r>
      <w:r>
        <w:rPr>
          <w:rFonts w:eastAsia="Arial Unicode MS" w:cs="Times New Roman"/>
          <w:iCs/>
          <w:shd w:fill="FFFFFF" w:val="clear"/>
        </w:rPr>
        <w:t xml:space="preserve">values for each oceanic province has been adopted. </w:t>
      </w:r>
    </w:p>
    <w:p>
      <w:pPr>
        <w:pStyle w:val="Normal"/>
        <w:ind w:left="0" w:right="0" w:firstLine="720"/>
        <w:jc w:val="both"/>
        <w:rPr>
          <w:rFonts w:eastAsia="Arial Unicode MS" w:cs="Times New Roman"/>
          <w:iCs/>
          <w:shd w:fill="FFFFFF" w:val="clear"/>
        </w:rPr>
      </w:pPr>
      <w:r>
        <w:rPr>
          <w:rFonts w:eastAsia="Arial Unicode MS" w:cs="Times New Roman"/>
          <w:iCs/>
          <w:shd w:fill="FFFFFF" w:val="clea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682"/>
        <w:gridCol w:w="756"/>
        <w:gridCol w:w="1071"/>
        <w:gridCol w:w="1701"/>
        <w:gridCol w:w="3306"/>
      </w:tblGrid>
      <w:tr>
        <w:trPr>
          <w:cantSplit w:val="false"/>
        </w:trPr>
        <w:tc>
          <w:tcPr>
            <w:tcW w:w="16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both"/>
              <w:rPr>
                <w:rFonts w:cs="Arial" w:ascii="Times" w:hAnsi="Times"/>
                <w:b/>
                <w:i/>
                <w:sz w:val="22"/>
                <w:shd w:fill="FFFFFF" w:val="clear"/>
              </w:rPr>
            </w:pPr>
            <w:r>
              <w:rPr>
                <w:rFonts w:cs="Arial" w:ascii="Times" w:hAnsi="Times"/>
                <w:b/>
                <w:i/>
                <w:sz w:val="22"/>
                <w:shd w:fill="FFFFFF" w:val="clear"/>
              </w:rPr>
              <w:t>Environment</w:t>
            </w:r>
          </w:p>
        </w:tc>
        <w:tc>
          <w:tcPr>
            <w:tcW w:w="7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both"/>
              <w:rPr>
                <w:rFonts w:ascii="Symbol" w:hAnsi="Symbol"/>
                <w:i/>
                <w:sz w:val="22"/>
                <w:shd w:fill="FFFFFF" w:val="clear"/>
              </w:rPr>
            </w:pPr>
            <w:r>
              <w:rPr>
                <w:rFonts w:ascii="Symbol" w:hAnsi="Symbol"/>
                <w:i/>
                <w:sz w:val="22"/>
                <w:shd w:fill="FFFFFF" w:val="clear"/>
              </w:rPr>
              <w:t></w:t>
            </w:r>
          </w:p>
        </w:tc>
        <w:tc>
          <w:tcPr>
            <w:tcW w:w="1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both"/>
              <w:rPr>
                <w:rFonts w:eastAsia="Arial Unicode MS" w:cs="Times New Roman" w:ascii="Times" w:hAnsi="Times"/>
                <w:b/>
                <w:i/>
                <w:iCs/>
                <w:sz w:val="22"/>
                <w:shd w:fill="FFFFFF" w:val="clear"/>
              </w:rPr>
            </w:pPr>
            <w:r>
              <w:rPr>
                <w:rFonts w:eastAsia="Arial Unicode MS" w:cs="Times New Roman" w:ascii="Times" w:hAnsi="Times"/>
                <w:b/>
                <w:i/>
                <w:iCs/>
                <w:sz w:val="22"/>
                <w:shd w:fill="FFFFFF" w:val="clear"/>
              </w:rPr>
              <w:t>a (yr-1)</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both"/>
              <w:rPr>
                <w:rFonts w:eastAsia="Arial Unicode MS" w:cs="Times New Roman" w:ascii="Times" w:hAnsi="Times"/>
                <w:b/>
                <w:iCs/>
                <w:sz w:val="22"/>
                <w:shd w:fill="FFFFFF" w:val="clear"/>
              </w:rPr>
            </w:pPr>
            <w:r>
              <w:rPr>
                <w:rFonts w:eastAsia="Arial Unicode MS" w:cs="Times New Roman" w:ascii="Times" w:hAnsi="Times"/>
                <w:b/>
                <w:iCs/>
                <w:sz w:val="22"/>
                <w:shd w:fill="FFFFFF" w:val="clear"/>
              </w:rPr>
              <w:t>Reference</w:t>
            </w:r>
          </w:p>
        </w:tc>
        <w:tc>
          <w:tcPr>
            <w:tcW w:w="33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both"/>
              <w:rPr>
                <w:rFonts w:eastAsia="Arial Unicode MS" w:cs="Times New Roman" w:ascii="Times" w:hAnsi="Times"/>
                <w:b/>
                <w:iCs/>
                <w:sz w:val="22"/>
                <w:shd w:fill="FFFFFF" w:val="clear"/>
              </w:rPr>
            </w:pPr>
            <w:r>
              <w:rPr>
                <w:rFonts w:eastAsia="Arial Unicode MS" w:cs="Times New Roman" w:ascii="Times" w:hAnsi="Times"/>
                <w:b/>
                <w:iCs/>
                <w:sz w:val="22"/>
                <w:shd w:fill="FFFFFF" w:val="clear"/>
              </w:rPr>
              <w:t>Description</w:t>
            </w:r>
          </w:p>
        </w:tc>
      </w:tr>
      <w:tr>
        <w:trPr>
          <w:cantSplit w:val="false"/>
        </w:trPr>
        <w:tc>
          <w:tcPr>
            <w:tcW w:w="8516"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both"/>
              <w:rPr>
                <w:rFonts w:eastAsia="Arial Unicode MS" w:cs="Times New Roman" w:ascii="Times" w:hAnsi="Times"/>
                <w:b/>
                <w:i/>
                <w:iCs/>
                <w:sz w:val="22"/>
                <w:shd w:fill="FFFFFF" w:val="clear"/>
              </w:rPr>
            </w:pPr>
            <w:r>
              <w:rPr>
                <w:rFonts w:eastAsia="Arial Unicode MS" w:cs="Times New Roman" w:ascii="Times" w:hAnsi="Times"/>
                <w:b/>
                <w:i/>
                <w:iCs/>
                <w:sz w:val="22"/>
                <w:shd w:fill="FFFFFF" w:val="clear"/>
              </w:rPr>
              <w:t>High reactivity</w:t>
            </w:r>
          </w:p>
        </w:tc>
      </w:tr>
      <w:tr>
        <w:trPr>
          <w:cantSplit w:val="false"/>
        </w:trPr>
        <w:tc>
          <w:tcPr>
            <w:tcW w:w="16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both"/>
              <w:rPr>
                <w:rFonts w:eastAsia="Arial Unicode MS" w:cs="Times New Roman" w:ascii="Times" w:hAnsi="Times"/>
                <w:iCs/>
                <w:sz w:val="22"/>
                <w:shd w:fill="FFFFFF" w:val="clear"/>
              </w:rPr>
            </w:pPr>
            <w:r>
              <w:rPr>
                <w:rFonts w:eastAsia="Arial Unicode MS" w:cs="Times New Roman" w:ascii="Times" w:hAnsi="Times"/>
                <w:iCs/>
                <w:sz w:val="22"/>
                <w:shd w:fill="FFFFFF" w:val="clear"/>
              </w:rPr>
              <w:t>Shelf</w:t>
            </w:r>
          </w:p>
        </w:tc>
        <w:tc>
          <w:tcPr>
            <w:tcW w:w="7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eastAsia="Arial Unicode MS" w:cs="Times New Roman" w:ascii="Times" w:hAnsi="Times"/>
                <w:iCs/>
                <w:sz w:val="22"/>
                <w:shd w:fill="FFFFFF" w:val="clear"/>
              </w:rPr>
            </w:pPr>
            <w:r>
              <w:rPr>
                <w:rFonts w:eastAsia="Arial Unicode MS" w:cs="Times New Roman" w:ascii="Times" w:hAnsi="Times"/>
                <w:iCs/>
                <w:sz w:val="22"/>
                <w:shd w:fill="FFFFFF" w:val="clear"/>
              </w:rPr>
              <w:t>0.125</w:t>
            </w:r>
          </w:p>
        </w:tc>
        <w:tc>
          <w:tcPr>
            <w:tcW w:w="1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Times New Roman" w:ascii="Times" w:hAnsi="Times"/>
                <w:sz w:val="22"/>
                <w:vertAlign w:val="superscript"/>
              </w:rPr>
            </w:pPr>
            <w:r>
              <w:rPr>
                <w:rFonts w:cs="Times New Roman" w:ascii="Times" w:hAnsi="Times"/>
                <w:sz w:val="22"/>
              </w:rPr>
              <w:t>3.10</w:t>
            </w:r>
            <w:r>
              <w:rPr>
                <w:rFonts w:cs="Times New Roman" w:ascii="Times" w:hAnsi="Times"/>
                <w:sz w:val="22"/>
                <w:vertAlign w:val="superscript"/>
              </w:rPr>
              <w:t>-4</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both"/>
              <w:rPr>
                <w:rFonts w:cs="Times New Roman" w:ascii="Times" w:hAnsi="Times"/>
                <w:sz w:val="22"/>
              </w:rPr>
            </w:pPr>
            <w:r>
              <w:rPr>
                <w:rFonts w:cs="Times New Roman" w:ascii="Times" w:hAnsi="Times"/>
                <w:sz w:val="22"/>
              </w:rPr>
              <w:t>Boudreau et al. (2008)</w:t>
            </w:r>
          </w:p>
        </w:tc>
        <w:tc>
          <w:tcPr>
            <w:tcW w:w="33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both"/>
              <w:rPr>
                <w:rFonts w:cs="Times New Roman" w:ascii="Times" w:hAnsi="Times"/>
                <w:sz w:val="22"/>
              </w:rPr>
            </w:pPr>
            <w:r>
              <w:rPr>
                <w:rFonts w:cs="Times New Roman" w:ascii="Times" w:hAnsi="Times"/>
                <w:sz w:val="22"/>
              </w:rPr>
              <w:t>degradation experiment of fresh phytoplankton over a 2 yr period Westrich and Berner, 1984.</w:t>
            </w:r>
          </w:p>
          <w:p>
            <w:pPr>
              <w:pStyle w:val="Normal"/>
              <w:jc w:val="both"/>
              <w:rPr>
                <w:rFonts w:eastAsia="Arial Unicode MS" w:cs="Times New Roman" w:ascii="Times" w:hAnsi="Times"/>
                <w:iCs/>
                <w:sz w:val="22"/>
                <w:shd w:fill="FFFFFF" w:val="clear"/>
              </w:rPr>
            </w:pPr>
            <w:r>
              <w:rPr>
                <w:rFonts w:eastAsia="Arial Unicode MS" w:cs="Times New Roman" w:ascii="Times" w:hAnsi="Times"/>
                <w:iCs/>
                <w:sz w:val="22"/>
                <w:shd w:fill="FFFFFF" w:val="clear"/>
              </w:rPr>
            </w:r>
          </w:p>
        </w:tc>
      </w:tr>
      <w:tr>
        <w:trPr>
          <w:cantSplit w:val="false"/>
        </w:trPr>
        <w:tc>
          <w:tcPr>
            <w:tcW w:w="16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both"/>
              <w:rPr>
                <w:rFonts w:eastAsia="Arial Unicode MS" w:cs="Times New Roman" w:ascii="Times" w:hAnsi="Times"/>
                <w:iCs/>
                <w:sz w:val="22"/>
                <w:shd w:fill="FFFFFF" w:val="clear"/>
              </w:rPr>
            </w:pPr>
            <w:r>
              <w:rPr>
                <w:rFonts w:eastAsia="Arial Unicode MS" w:cs="Times New Roman" w:ascii="Times" w:hAnsi="Times"/>
                <w:iCs/>
                <w:sz w:val="22"/>
                <w:shd w:fill="FFFFFF" w:val="clear"/>
              </w:rPr>
              <w:t>Slope</w:t>
            </w:r>
          </w:p>
        </w:tc>
        <w:tc>
          <w:tcPr>
            <w:tcW w:w="7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eastAsia="Arial Unicode MS" w:cs="Times New Roman" w:ascii="Times" w:hAnsi="Times"/>
                <w:iCs/>
                <w:sz w:val="22"/>
                <w:shd w:fill="FFFFFF" w:val="clear"/>
              </w:rPr>
            </w:pPr>
            <w:r>
              <w:rPr>
                <w:rFonts w:eastAsia="Arial Unicode MS" w:cs="Times New Roman" w:ascii="Times" w:hAnsi="Times"/>
                <w:iCs/>
                <w:sz w:val="22"/>
                <w:shd w:fill="FFFFFF" w:val="clear"/>
              </w:rPr>
              <w:t>0.125</w:t>
            </w:r>
          </w:p>
        </w:tc>
        <w:tc>
          <w:tcPr>
            <w:tcW w:w="1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Times New Roman" w:ascii="Times" w:hAnsi="Times"/>
                <w:sz w:val="22"/>
                <w:vertAlign w:val="superscript"/>
              </w:rPr>
            </w:pPr>
            <w:r>
              <w:rPr>
                <w:rFonts w:cs="Times New Roman" w:ascii="Times" w:hAnsi="Times"/>
                <w:sz w:val="22"/>
              </w:rPr>
              <w:t>3.10</w:t>
            </w:r>
            <w:r>
              <w:rPr>
                <w:rFonts w:cs="Times New Roman" w:ascii="Times" w:hAnsi="Times"/>
                <w:sz w:val="22"/>
                <w:vertAlign w:val="superscript"/>
              </w:rPr>
              <w:t>-4</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both"/>
              <w:rPr>
                <w:rFonts w:cs="Times New Roman" w:ascii="Times" w:hAnsi="Times"/>
                <w:sz w:val="22"/>
              </w:rPr>
            </w:pPr>
            <w:r>
              <w:rPr>
                <w:rFonts w:cs="Times New Roman" w:ascii="Times" w:hAnsi="Times"/>
                <w:sz w:val="22"/>
              </w:rPr>
              <w:t>Boudreau et al. (2008)</w:t>
            </w:r>
          </w:p>
        </w:tc>
        <w:tc>
          <w:tcPr>
            <w:tcW w:w="33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both"/>
              <w:rPr>
                <w:rFonts w:cs="Times New Roman" w:ascii="Times" w:hAnsi="Times"/>
                <w:sz w:val="22"/>
              </w:rPr>
            </w:pPr>
            <w:r>
              <w:rPr>
                <w:rFonts w:cs="Times New Roman" w:ascii="Times" w:hAnsi="Times"/>
                <w:sz w:val="22"/>
              </w:rPr>
              <w:t>degradation experiment of fresh phytoplankton over a 2 yr period Westrich and Berner, 1984.</w:t>
            </w:r>
          </w:p>
          <w:p>
            <w:pPr>
              <w:pStyle w:val="Normal"/>
              <w:jc w:val="both"/>
              <w:rPr>
                <w:rFonts w:eastAsia="Arial Unicode MS" w:cs="Times New Roman" w:ascii="Times" w:hAnsi="Times"/>
                <w:iCs/>
                <w:sz w:val="22"/>
                <w:shd w:fill="FFFFFF" w:val="clear"/>
              </w:rPr>
            </w:pPr>
            <w:r>
              <w:rPr>
                <w:rFonts w:eastAsia="Arial Unicode MS" w:cs="Times New Roman" w:ascii="Times" w:hAnsi="Times"/>
                <w:iCs/>
                <w:sz w:val="22"/>
                <w:shd w:fill="FFFFFF" w:val="clear"/>
              </w:rPr>
            </w:r>
          </w:p>
        </w:tc>
      </w:tr>
      <w:tr>
        <w:trPr>
          <w:cantSplit w:val="false"/>
        </w:trPr>
        <w:tc>
          <w:tcPr>
            <w:tcW w:w="16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both"/>
              <w:rPr>
                <w:rFonts w:eastAsia="Arial Unicode MS" w:cs="Times New Roman" w:ascii="Times" w:hAnsi="Times"/>
                <w:iCs/>
                <w:sz w:val="22"/>
                <w:shd w:fill="FFFFFF" w:val="clear"/>
              </w:rPr>
            </w:pPr>
            <w:r>
              <w:rPr>
                <w:rFonts w:eastAsia="Arial Unicode MS" w:cs="Times New Roman" w:ascii="Times" w:hAnsi="Times"/>
                <w:iCs/>
                <w:sz w:val="22"/>
                <w:shd w:fill="FFFFFF" w:val="clear"/>
              </w:rPr>
              <w:t>Abyss</w:t>
            </w:r>
          </w:p>
        </w:tc>
        <w:tc>
          <w:tcPr>
            <w:tcW w:w="7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eastAsia="Arial Unicode MS" w:cs="Times New Roman" w:ascii="Times" w:hAnsi="Times"/>
                <w:iCs/>
                <w:sz w:val="22"/>
                <w:shd w:fill="FFFFFF" w:val="clear"/>
              </w:rPr>
            </w:pPr>
            <w:r>
              <w:rPr>
                <w:rFonts w:eastAsia="Arial Unicode MS" w:cs="Times New Roman" w:ascii="Times" w:hAnsi="Times"/>
                <w:iCs/>
                <w:sz w:val="22"/>
                <w:shd w:fill="FFFFFF" w:val="clear"/>
              </w:rPr>
              <w:t>0.16</w:t>
            </w:r>
          </w:p>
        </w:tc>
        <w:tc>
          <w:tcPr>
            <w:tcW w:w="1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eastAsia="Arial Unicode MS" w:cs="Times New Roman" w:ascii="Times" w:hAnsi="Times"/>
                <w:iCs/>
                <w:sz w:val="22"/>
                <w:shd w:fill="FFFFFF" w:val="clear"/>
              </w:rPr>
            </w:pPr>
            <w:r>
              <w:rPr>
                <w:rFonts w:eastAsia="Arial Unicode MS" w:cs="Times New Roman" w:ascii="Times" w:hAnsi="Times"/>
                <w:iCs/>
                <w:sz w:val="22"/>
                <w:shd w:fill="FFFFFF" w:val="clear"/>
              </w:rPr>
              <w:t>40</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both"/>
              <w:rPr>
                <w:rFonts w:eastAsia="Times New Roman" w:cs="Times New Roman" w:ascii="Times" w:hAnsi="Times"/>
                <w:sz w:val="22"/>
                <w:lang w:val="en-GB"/>
              </w:rPr>
            </w:pPr>
            <w:r>
              <w:rPr>
                <w:rFonts w:eastAsia="Times New Roman" w:cs="Times New Roman" w:ascii="Times" w:hAnsi="Times"/>
                <w:sz w:val="22"/>
                <w:lang w:val="en-GB"/>
              </w:rPr>
              <w:t>Marquardt et al., 2010</w:t>
            </w:r>
          </w:p>
          <w:p>
            <w:pPr>
              <w:pStyle w:val="Normal"/>
              <w:jc w:val="both"/>
              <w:rPr>
                <w:rFonts w:eastAsia="Times New Roman" w:cs="Times New Roman" w:ascii="Times" w:hAnsi="Times"/>
                <w:sz w:val="22"/>
                <w:lang w:val="en-GB"/>
              </w:rPr>
            </w:pPr>
            <w:r>
              <w:rPr>
                <w:rFonts w:eastAsia="Times New Roman" w:cs="Times New Roman" w:ascii="Times" w:hAnsi="Times"/>
                <w:sz w:val="22"/>
                <w:lang w:val="en-GB"/>
              </w:rPr>
            </w:r>
          </w:p>
        </w:tc>
        <w:tc>
          <w:tcPr>
            <w:tcW w:w="33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both"/>
              <w:rPr>
                <w:rFonts w:eastAsia="Arial Unicode MS" w:cs="Times New Roman" w:ascii="Times" w:hAnsi="Times"/>
                <w:iCs/>
                <w:sz w:val="22"/>
                <w:shd w:fill="FFFFFF" w:val="clear"/>
              </w:rPr>
            </w:pPr>
            <w:r>
              <w:rPr>
                <w:rFonts w:eastAsia="Arial Unicode MS" w:cs="Times New Roman" w:ascii="Times" w:hAnsi="Times"/>
                <w:iCs/>
                <w:sz w:val="22"/>
                <w:shd w:fill="FFFFFF" w:val="clear"/>
              </w:rPr>
              <w:t>Peru sediments</w:t>
            </w:r>
          </w:p>
        </w:tc>
      </w:tr>
      <w:tr>
        <w:trPr>
          <w:cantSplit w:val="false"/>
        </w:trPr>
        <w:tc>
          <w:tcPr>
            <w:tcW w:w="8516"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eastAsia="Arial Unicode MS" w:cs="Times New Roman" w:ascii="Times" w:hAnsi="Times"/>
                <w:b/>
                <w:i/>
                <w:iCs/>
                <w:sz w:val="22"/>
                <w:shd w:fill="FFFFFF" w:val="clear"/>
              </w:rPr>
            </w:pPr>
            <w:r>
              <w:rPr>
                <w:rFonts w:eastAsia="Arial Unicode MS" w:cs="Times New Roman" w:ascii="Times" w:hAnsi="Times"/>
                <w:b/>
                <w:i/>
                <w:iCs/>
                <w:sz w:val="22"/>
                <w:shd w:fill="FFFFFF" w:val="clear"/>
              </w:rPr>
              <w:t>Low reactivity</w:t>
            </w:r>
          </w:p>
        </w:tc>
      </w:tr>
      <w:tr>
        <w:trPr>
          <w:cantSplit w:val="false"/>
        </w:trPr>
        <w:tc>
          <w:tcPr>
            <w:tcW w:w="16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both"/>
              <w:rPr>
                <w:rFonts w:eastAsia="Arial Unicode MS" w:cs="Times New Roman" w:ascii="Times" w:hAnsi="Times"/>
                <w:iCs/>
                <w:sz w:val="22"/>
                <w:shd w:fill="FFFFFF" w:val="clear"/>
              </w:rPr>
            </w:pPr>
            <w:r>
              <w:rPr>
                <w:rFonts w:eastAsia="Arial Unicode MS" w:cs="Times New Roman" w:ascii="Times" w:hAnsi="Times"/>
                <w:iCs/>
                <w:sz w:val="22"/>
                <w:shd w:fill="FFFFFF" w:val="clear"/>
              </w:rPr>
              <w:t>Shelf</w:t>
            </w:r>
          </w:p>
        </w:tc>
        <w:tc>
          <w:tcPr>
            <w:tcW w:w="7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eastAsia="Arial Unicode MS" w:cs="Times New Roman" w:ascii="Times" w:hAnsi="Times"/>
                <w:iCs/>
                <w:sz w:val="22"/>
                <w:shd w:fill="FFFFFF" w:val="clear"/>
              </w:rPr>
            </w:pPr>
            <w:r>
              <w:rPr>
                <w:rFonts w:eastAsia="Arial Unicode MS" w:cs="Times New Roman" w:ascii="Times" w:hAnsi="Times"/>
                <w:iCs/>
                <w:sz w:val="22"/>
                <w:shd w:fill="FFFFFF" w:val="clear"/>
              </w:rPr>
              <w:t>0.135</w:t>
            </w:r>
          </w:p>
        </w:tc>
        <w:tc>
          <w:tcPr>
            <w:tcW w:w="1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eastAsia="Arial Unicode MS" w:cs="Times New Roman" w:ascii="Times" w:hAnsi="Times"/>
                <w:iCs/>
                <w:sz w:val="22"/>
                <w:shd w:fill="FFFFFF" w:val="clear"/>
              </w:rPr>
            </w:pPr>
            <w:r>
              <w:rPr>
                <w:rFonts w:eastAsia="Arial Unicode MS" w:cs="Times New Roman" w:ascii="Times" w:hAnsi="Times"/>
                <w:iCs/>
                <w:sz w:val="22"/>
                <w:shd w:fill="FFFFFF" w:val="clear"/>
              </w:rPr>
              <w:t>5</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both"/>
              <w:rPr>
                <w:rFonts w:eastAsia="Times New Roman" w:cs="Times New Roman" w:ascii="Times" w:hAnsi="Times"/>
                <w:sz w:val="22"/>
                <w:lang w:val="en-GB"/>
              </w:rPr>
            </w:pPr>
            <w:r>
              <w:rPr>
                <w:rFonts w:eastAsia="Times New Roman" w:cs="Times New Roman" w:ascii="Times" w:hAnsi="Times"/>
                <w:sz w:val="22"/>
                <w:lang w:val="en-GB"/>
              </w:rPr>
              <w:t>Mogollon et al., 2011</w:t>
            </w:r>
          </w:p>
        </w:tc>
        <w:tc>
          <w:tcPr>
            <w:tcW w:w="33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both"/>
              <w:rPr>
                <w:rFonts w:eastAsia="Times New Roman" w:cs="Times New Roman" w:ascii="Times" w:hAnsi="Times"/>
                <w:sz w:val="22"/>
                <w:lang w:val="en-GB"/>
              </w:rPr>
            </w:pPr>
            <w:r>
              <w:rPr>
                <w:rFonts w:eastAsia="Times New Roman" w:cs="Times New Roman" w:ascii="Times" w:hAnsi="Times"/>
                <w:sz w:val="22"/>
                <w:lang w:val="en-GB"/>
              </w:rPr>
              <w:t>Arkona Bassin</w:t>
            </w:r>
          </w:p>
          <w:p>
            <w:pPr>
              <w:pStyle w:val="Normal"/>
              <w:jc w:val="both"/>
              <w:rPr>
                <w:rFonts w:eastAsia="Arial Unicode MS" w:cs="Times New Roman" w:ascii="Times" w:hAnsi="Times"/>
                <w:iCs/>
                <w:sz w:val="22"/>
                <w:shd w:fill="FFFFFF" w:val="clear"/>
              </w:rPr>
            </w:pPr>
            <w:r>
              <w:rPr>
                <w:rFonts w:eastAsia="Arial Unicode MS" w:cs="Times New Roman" w:ascii="Times" w:hAnsi="Times"/>
                <w:iCs/>
                <w:sz w:val="22"/>
                <w:shd w:fill="FFFFFF" w:val="clear"/>
              </w:rPr>
            </w:r>
          </w:p>
        </w:tc>
      </w:tr>
      <w:tr>
        <w:trPr>
          <w:cantSplit w:val="false"/>
        </w:trPr>
        <w:tc>
          <w:tcPr>
            <w:tcW w:w="16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both"/>
              <w:rPr>
                <w:rFonts w:eastAsia="Arial Unicode MS" w:cs="Times New Roman" w:ascii="Times" w:hAnsi="Times"/>
                <w:iCs/>
                <w:sz w:val="22"/>
                <w:shd w:fill="FFFFFF" w:val="clear"/>
              </w:rPr>
            </w:pPr>
            <w:r>
              <w:rPr>
                <w:rFonts w:eastAsia="Arial Unicode MS" w:cs="Times New Roman" w:ascii="Times" w:hAnsi="Times"/>
                <w:iCs/>
                <w:sz w:val="22"/>
                <w:shd w:fill="FFFFFF" w:val="clear"/>
              </w:rPr>
              <w:t>Slope</w:t>
            </w:r>
          </w:p>
        </w:tc>
        <w:tc>
          <w:tcPr>
            <w:tcW w:w="7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eastAsia="Arial Unicode MS" w:cs="Times New Roman" w:ascii="Times" w:hAnsi="Times"/>
                <w:iCs/>
                <w:sz w:val="22"/>
                <w:shd w:fill="FFFFFF" w:val="clear"/>
              </w:rPr>
            </w:pPr>
            <w:r>
              <w:rPr>
                <w:rFonts w:eastAsia="Arial Unicode MS" w:cs="Times New Roman" w:ascii="Times" w:hAnsi="Times"/>
                <w:iCs/>
                <w:sz w:val="22"/>
                <w:shd w:fill="FFFFFF" w:val="clear"/>
              </w:rPr>
              <w:t>0.16</w:t>
            </w:r>
          </w:p>
        </w:tc>
        <w:tc>
          <w:tcPr>
            <w:tcW w:w="1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eastAsia="Arial Unicode MS" w:cs="Times New Roman" w:ascii="Times" w:hAnsi="Times"/>
                <w:iCs/>
                <w:sz w:val="22"/>
                <w:shd w:fill="FFFFFF" w:val="clear"/>
              </w:rPr>
            </w:pPr>
            <w:r>
              <w:rPr>
                <w:rFonts w:eastAsia="Arial Unicode MS" w:cs="Times New Roman" w:ascii="Times" w:hAnsi="Times"/>
                <w:iCs/>
                <w:sz w:val="22"/>
                <w:shd w:fill="FFFFFF" w:val="clear"/>
              </w:rPr>
              <w:t>1000</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both"/>
              <w:rPr>
                <w:rFonts w:eastAsia="Times New Roman" w:cs="Times New Roman" w:ascii="Times" w:hAnsi="Times"/>
                <w:sz w:val="22"/>
                <w:lang w:val="en-GB"/>
              </w:rPr>
            </w:pPr>
            <w:r>
              <w:rPr>
                <w:rFonts w:eastAsia="Times New Roman" w:cs="Times New Roman" w:ascii="Times" w:hAnsi="Times"/>
                <w:sz w:val="22"/>
                <w:lang w:val="en-GB"/>
              </w:rPr>
              <w:t>Wallmann et al., 2006</w:t>
            </w:r>
          </w:p>
          <w:p>
            <w:pPr>
              <w:pStyle w:val="Normal"/>
              <w:jc w:val="both"/>
              <w:rPr>
                <w:rFonts w:eastAsia="Times New Roman" w:cs="Times New Roman" w:ascii="Times" w:hAnsi="Times"/>
                <w:sz w:val="22"/>
                <w:lang w:val="en-GB"/>
              </w:rPr>
            </w:pPr>
            <w:r>
              <w:rPr>
                <w:rFonts w:eastAsia="Times New Roman" w:cs="Times New Roman" w:ascii="Times" w:hAnsi="Times"/>
                <w:sz w:val="22"/>
                <w:lang w:val="en-GB"/>
              </w:rPr>
            </w:r>
          </w:p>
        </w:tc>
        <w:tc>
          <w:tcPr>
            <w:tcW w:w="33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both"/>
              <w:rPr>
                <w:rFonts w:eastAsia="Times New Roman" w:cs="Times New Roman" w:ascii="Times" w:hAnsi="Times"/>
                <w:sz w:val="22"/>
                <w:lang w:val="en-GB"/>
              </w:rPr>
            </w:pPr>
            <w:r>
              <w:rPr>
                <w:rFonts w:eastAsia="Times New Roman" w:cs="Times New Roman" w:ascii="Times" w:hAnsi="Times"/>
                <w:sz w:val="22"/>
                <w:lang w:val="en-GB"/>
              </w:rPr>
              <w:t>Sea of Okhotsk</w:t>
            </w:r>
          </w:p>
          <w:p>
            <w:pPr>
              <w:pStyle w:val="Normal"/>
              <w:jc w:val="both"/>
              <w:rPr>
                <w:rFonts w:eastAsia="Arial Unicode MS" w:cs="Times New Roman" w:ascii="Times" w:hAnsi="Times"/>
                <w:iCs/>
                <w:sz w:val="22"/>
                <w:shd w:fill="FFFFFF" w:val="clear"/>
              </w:rPr>
            </w:pPr>
            <w:r>
              <w:rPr>
                <w:rFonts w:eastAsia="Arial Unicode MS" w:cs="Times New Roman" w:ascii="Times" w:hAnsi="Times"/>
                <w:iCs/>
                <w:sz w:val="22"/>
                <w:shd w:fill="FFFFFF" w:val="clear"/>
              </w:rPr>
            </w:r>
          </w:p>
        </w:tc>
      </w:tr>
      <w:tr>
        <w:trPr>
          <w:cantSplit w:val="false"/>
        </w:trPr>
        <w:tc>
          <w:tcPr>
            <w:tcW w:w="16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both"/>
              <w:rPr>
                <w:rFonts w:eastAsia="Arial Unicode MS" w:cs="Times New Roman" w:ascii="Times" w:hAnsi="Times"/>
                <w:iCs/>
                <w:sz w:val="22"/>
                <w:shd w:fill="FFFFFF" w:val="clear"/>
              </w:rPr>
            </w:pPr>
            <w:r>
              <w:rPr>
                <w:rFonts w:eastAsia="Arial Unicode MS" w:cs="Times New Roman" w:ascii="Times" w:hAnsi="Times"/>
                <w:iCs/>
                <w:sz w:val="22"/>
                <w:shd w:fill="FFFFFF" w:val="clear"/>
              </w:rPr>
              <w:t>Abyss</w:t>
            </w:r>
          </w:p>
        </w:tc>
        <w:tc>
          <w:tcPr>
            <w:tcW w:w="7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eastAsia="Arial Unicode MS" w:cs="Times New Roman" w:ascii="Times" w:hAnsi="Times"/>
                <w:iCs/>
                <w:sz w:val="22"/>
                <w:shd w:fill="FFFFFF" w:val="clear"/>
              </w:rPr>
            </w:pPr>
            <w:r>
              <w:rPr>
                <w:rFonts w:eastAsia="Arial Unicode MS" w:cs="Times New Roman" w:ascii="Times" w:hAnsi="Times"/>
                <w:iCs/>
                <w:sz w:val="22"/>
                <w:shd w:fill="FFFFFF" w:val="clear"/>
              </w:rPr>
              <w:t>0.16</w:t>
            </w:r>
          </w:p>
        </w:tc>
        <w:tc>
          <w:tcPr>
            <w:tcW w:w="1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eastAsia="Arial Unicode MS" w:cs="Times New Roman" w:ascii="Times" w:hAnsi="Times"/>
                <w:iCs/>
                <w:sz w:val="22"/>
                <w:shd w:fill="FFFFFF" w:val="clear"/>
              </w:rPr>
            </w:pPr>
            <w:r>
              <w:rPr>
                <w:rFonts w:eastAsia="Arial Unicode MS" w:cs="Times New Roman" w:ascii="Times" w:hAnsi="Times"/>
                <w:iCs/>
                <w:sz w:val="22"/>
                <w:shd w:fill="FFFFFF" w:val="clear"/>
              </w:rPr>
              <w:t>10000</w:t>
            </w:r>
          </w:p>
        </w:tc>
        <w:tc>
          <w:tcPr>
            <w:tcW w:w="17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both"/>
              <w:rPr>
                <w:rFonts w:eastAsia="Times New Roman" w:cs="Times New Roman" w:ascii="Times" w:hAnsi="Times"/>
                <w:sz w:val="22"/>
                <w:lang w:val="en-GB"/>
              </w:rPr>
            </w:pPr>
            <w:r>
              <w:rPr>
                <w:rFonts w:eastAsia="Times New Roman" w:cs="Times New Roman" w:ascii="Times" w:hAnsi="Times"/>
                <w:sz w:val="22"/>
                <w:lang w:val="en-GB"/>
              </w:rPr>
              <w:t xml:space="preserve">Middelburg, 1989; </w:t>
            </w:r>
          </w:p>
        </w:tc>
        <w:tc>
          <w:tcPr>
            <w:tcW w:w="33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both"/>
              <w:rPr>
                <w:rFonts w:eastAsia="Arial Unicode MS" w:cs="Times New Roman" w:ascii="Times" w:hAnsi="Times"/>
                <w:iCs/>
                <w:sz w:val="22"/>
                <w:shd w:fill="FFFFFF" w:val="clear"/>
              </w:rPr>
            </w:pPr>
            <w:r>
              <w:rPr>
                <w:rFonts w:eastAsia="Arial Unicode MS" w:cs="Times New Roman" w:ascii="Times" w:hAnsi="Times"/>
                <w:iCs/>
                <w:sz w:val="22"/>
                <w:shd w:fill="FFFFFF" w:val="clear"/>
              </w:rPr>
              <w:t>Central Pacific</w:t>
            </w:r>
          </w:p>
        </w:tc>
      </w:tr>
    </w:tbl>
    <w:p>
      <w:pPr>
        <w:pStyle w:val="Normal"/>
        <w:jc w:val="both"/>
        <w:rPr>
          <w:rFonts w:eastAsia="Arial Unicode MS" w:cs="Times New Roman"/>
          <w:iCs/>
          <w:shd w:fill="FFFFFF" w:val="clear"/>
        </w:rPr>
      </w:pPr>
      <w:r>
        <w:rPr>
          <w:rFonts w:eastAsia="Arial Unicode MS" w:cs="Times New Roman"/>
          <w:iCs/>
          <w:shd w:fill="FFFFFF" w:val="clear"/>
        </w:rPr>
      </w:r>
    </w:p>
    <w:p>
      <w:pPr>
        <w:pStyle w:val="Normal"/>
        <w:jc w:val="both"/>
        <w:rPr>
          <w:rFonts w:eastAsia="Arial Unicode MS" w:cs="Times New Roman"/>
          <w:iCs/>
          <w:shd w:fill="FFFFFF" w:val="clear"/>
        </w:rPr>
      </w:pPr>
      <w:r>
        <w:rPr>
          <w:rFonts w:eastAsia="Arial Unicode MS" w:cs="Times New Roman"/>
          <w:iCs/>
          <w:shd w:fill="FFFFFF" w:val="clear"/>
        </w:rPr>
      </w:r>
    </w:p>
    <w:p>
      <w:pPr>
        <w:pStyle w:val="Normal"/>
        <w:ind w:left="0" w:right="0" w:firstLine="720"/>
        <w:jc w:val="both"/>
        <w:rPr>
          <w:rFonts w:eastAsia="Arial Unicode MS" w:cs="Times New Roman"/>
          <w:iCs/>
          <w:shd w:fill="FFFFFF" w:val="clear"/>
        </w:rPr>
      </w:pPr>
      <w:commentRangeStart w:id="1"/>
      <w:r>
        <w:rPr>
          <w:rFonts w:eastAsia="Arial Unicode MS" w:cs="Times New Roman"/>
          <w:iCs/>
          <w:shd w:fill="FFFFFF" w:val="clear"/>
        </w:rPr>
        <w:t xml:space="preserve">Baseline values </w:t>
      </w:r>
      <w:commentRangeEnd w:id="1"/>
      <w:r>
        <w:rPr>
          <w:rFonts w:eastAsia="Arial Unicode MS" w:cs="Times New Roman"/>
          <w:iCs/>
          <w:shd w:fill="FFFFFF" w:val="clear"/>
        </w:rPr>
      </w:r>
      <w:r>
        <w:rPr>
          <w:rFonts w:eastAsia="Arial Unicode MS" w:cs="Times New Roman"/>
          <w:iCs/>
          <w:shd w:fill="FFFFFF" w:val="clear"/>
        </w:rPr>
        <w:commentReference w:id="1"/>
      </w:r>
      <w:r>
        <w:rPr>
          <w:rFonts w:eastAsia="Arial Unicode MS" w:cs="Times New Roman"/>
          <w:iCs/>
          <w:shd w:fill="FFFFFF" w:val="clear"/>
        </w:rPr>
        <w:t xml:space="preserve">reflect typically observed values for such environments, while high and low values span nearly the entire range of observed values (e.g. Boudreau and Ruddick, 1991; Arndt et al., 2013).  Values of these parameters for all three scenarios are listed in Table 2. See Appendix A for a discussion and illustration of the implications of using various combinations of RCM parameters on organic matter reactivity.  </w:t>
      </w:r>
    </w:p>
    <w:p>
      <w:pPr>
        <w:pStyle w:val="Normal"/>
        <w:rPr/>
      </w:pPr>
      <w:r>
        <w:rPr/>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Sandra Arndt" w:date="2017-08-02T20:19:00Z" w:initials="SA">
    <w:p>
      <w:r>
        <w:rPr/>
        <w:t>Need to include Dbio and k</w:t>
      </w:r>
    </w:p>
  </w:comment>
  <w:comment w:id="1" w:author="Sandra Arndt" w:date="2017-08-02T20:19:00Z" w:initials="SA">
    <w:p>
      <w:r>
        <w:rPr/>
        <w:t>Need to be defined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Symbol">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GB" w:eastAsia="en-US" w:bidi="ar-SA"/>
      </w:rPr>
    </w:rPrDefault>
    <w:pPrDefault>
      <w:pPr/>
    </w:pPrDefault>
  </w:docDefaults>
  <w:latentStyles w:count="276"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552f86"/>
    <w:pPr>
      <w:widowControl/>
      <w:suppressAutoHyphens w:val="true"/>
      <w:bidi w:val="0"/>
      <w:jc w:val="left"/>
    </w:pPr>
    <w:rPr>
      <w:rFonts w:ascii="Times New Roman" w:hAnsi="Times New Roman" w:cs="Cambria" w:eastAsia="Droid Sans Fallback"/>
      <w:color w:val="auto"/>
      <w:sz w:val="24"/>
      <w:szCs w:val="22"/>
      <w:lang w:val="en-US" w:eastAsia="en-US" w:bidi="ar-SA"/>
    </w:rPr>
  </w:style>
  <w:style w:type="character" w:styleId="DefaultParagraphFont" w:default="1">
    <w:name w:val="Default Paragraph Font"/>
    <w:uiPriority w:val="1"/>
    <w:semiHidden/>
    <w:unhideWhenUsed/>
    <w:rPr/>
  </w:style>
  <w:style w:type="character" w:styleId="Appleconvertedspace" w:customStyle="1">
    <w:name w:val="apple-converted-space"/>
    <w:rsid w:val="00552f86"/>
    <w:basedOn w:val="DefaultParagraphFont"/>
    <w:rPr/>
  </w:style>
  <w:style w:type="character" w:styleId="BalloonTextChar" w:customStyle="1">
    <w:name w:val="Balloon Text Char"/>
    <w:uiPriority w:val="99"/>
    <w:semiHidden/>
    <w:link w:val="BalloonText"/>
    <w:rsid w:val="003f6f1f"/>
    <w:basedOn w:val="DefaultParagraphFont"/>
    <w:rPr>
      <w:rFonts w:ascii="Lucida Grande" w:hAnsi="Lucida Grande" w:cs="Lucida Grande"/>
      <w:sz w:val="18"/>
      <w:szCs w:val="18"/>
      <w:lang w:val="en-US"/>
    </w:rPr>
  </w:style>
  <w:style w:type="character" w:styleId="Annotationreference">
    <w:name w:val="annotation reference"/>
    <w:uiPriority w:val="99"/>
    <w:semiHidden/>
    <w:unhideWhenUsed/>
    <w:rsid w:val="00207e6c"/>
    <w:basedOn w:val="DefaultParagraphFont"/>
    <w:rPr>
      <w:sz w:val="18"/>
      <w:szCs w:val="18"/>
    </w:rPr>
  </w:style>
  <w:style w:type="character" w:styleId="CommentTextChar" w:customStyle="1">
    <w:name w:val="Comment Text Char"/>
    <w:uiPriority w:val="99"/>
    <w:semiHidden/>
    <w:link w:val="CommentText"/>
    <w:rsid w:val="00207e6c"/>
    <w:basedOn w:val="DefaultParagraphFont"/>
    <w:rPr>
      <w:rFonts w:ascii="Times New Roman" w:hAnsi="Times New Roman" w:cs="Cambria"/>
      <w:lang w:val="en-US"/>
    </w:rPr>
  </w:style>
  <w:style w:type="character" w:styleId="CommentSubjectChar" w:customStyle="1">
    <w:name w:val="Comment Subject Char"/>
    <w:uiPriority w:val="99"/>
    <w:semiHidden/>
    <w:link w:val="CommentSubject"/>
    <w:rsid w:val="00207e6c"/>
    <w:basedOn w:val="CommentTextChar"/>
    <w:rPr>
      <w:rFonts w:ascii="Times New Roman" w:hAnsi="Times New Roman" w:cs="Cambria"/>
      <w:b/>
      <w:bCs/>
      <w:sz w:val="20"/>
      <w:szCs w:val="20"/>
      <w:lang w:val="en-US"/>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3f6f1f"/>
    <w:basedOn w:val="Normal"/>
    <w:pPr/>
    <w:rPr>
      <w:rFonts w:ascii="Lucida Grande" w:hAnsi="Lucida Grande" w:cs="Lucida Grande"/>
      <w:sz w:val="18"/>
      <w:szCs w:val="18"/>
    </w:rPr>
  </w:style>
  <w:style w:type="paragraph" w:styleId="Annotationtext">
    <w:name w:val="annotation text"/>
    <w:uiPriority w:val="99"/>
    <w:semiHidden/>
    <w:unhideWhenUsed/>
    <w:link w:val="CommentTextChar"/>
    <w:rsid w:val="00207e6c"/>
    <w:basedOn w:val="Normal"/>
    <w:pPr/>
    <w:rPr>
      <w:szCs w:val="24"/>
    </w:rPr>
  </w:style>
  <w:style w:type="paragraph" w:styleId="Annotationsubject">
    <w:name w:val="annotation subject"/>
    <w:uiPriority w:val="99"/>
    <w:semiHidden/>
    <w:unhideWhenUsed/>
    <w:link w:val="CommentSubjectChar"/>
    <w:rsid w:val="00207e6c"/>
    <w:basedOn w:val="Annotationtext"/>
    <w:pPr/>
    <w:rPr>
      <w:b/>
      <w:bCs/>
      <w:sz w:val="20"/>
      <w:szCs w:val="20"/>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580114"/>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e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emf"/><Relationship Id="rId7" Type="http://schemas.openxmlformats.org/officeDocument/2006/relationships/image" Target="media/image6.e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image" Target="media/image12.wmf"/><Relationship Id="rId14" Type="http://schemas.openxmlformats.org/officeDocument/2006/relationships/image" Target="media/image13.wmf"/><Relationship Id="rId15" Type="http://schemas.openxmlformats.org/officeDocument/2006/relationships/image" Target="media/image14.wmf"/><Relationship Id="rId16" Type="http://schemas.openxmlformats.org/officeDocument/2006/relationships/image" Target="media/image15.wmf"/><Relationship Id="rId17" Type="http://schemas.openxmlformats.org/officeDocument/2006/relationships/comments" Target="comments.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2017-08-01T10:20:00Z</dcterms:created>
  <dc:creator>Sandra Arndt</dc:creator>
  <dc:language>en-GB</dc:language>
  <cp:lastModifiedBy>Sandra Arndt</cp:lastModifiedBy>
  <dcterms:modified xsi:type="dcterms:W3CDTF">2017-08-02T18:19:00Z</dcterms:modified>
  <cp:revision>16</cp:revision>
</cp:coreProperties>
</file>