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bCs/>
          <w:sz w:val="28"/>
          <w:szCs w:val="28"/>
        </w:rPr>
      </w:pPr>
      <w:r>
        <w:rPr>
          <w:b/>
          <w:bCs/>
          <w:sz w:val="28"/>
          <w:szCs w:val="28"/>
        </w:rPr>
        <w:t>Anonymous Referee #1</w:t>
      </w:r>
    </w:p>
    <w:p>
      <w:pPr>
        <w:pStyle w:val="Normal"/>
        <w:outlineLvl w:val="0"/>
        <w:rPr/>
      </w:pPr>
      <w:r>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rPr>
          <w:b/>
          <w:bCs/>
          <w:color w:val="800000"/>
        </w:rPr>
      </w:pPr>
      <w:r>
        <w:rPr>
          <w:b/>
          <w:bCs/>
          <w:color w:val="00000A"/>
        </w:rPr>
        <w:t>Response:</w:t>
      </w:r>
      <w:r>
        <w:rPr>
          <w:b/>
          <w:bCs/>
          <w:color w:val="800000"/>
        </w:rPr>
        <w:t xml:space="preserve">  </w:t>
      </w:r>
    </w:p>
    <w:p>
      <w:pPr>
        <w:pStyle w:val="Normal"/>
        <w:rPr>
          <w:b w:val="false"/>
          <w:bCs w:val="false"/>
          <w:color w:val="00000A"/>
        </w:rPr>
      </w:pPr>
      <w:r>
        <w:rPr>
          <w:b w:val="false"/>
          <w:bCs w:val="false"/>
          <w:color w:val="00000A"/>
        </w:rPr>
        <w:t xml:space="preserve">We thank the reviewer for this valid point. </w:t>
      </w:r>
      <w:commentRangeStart w:id="0"/>
      <w:r>
        <w:rPr>
          <w:b w:val="false"/>
          <w:bCs w:val="false"/>
          <w:color w:val="00000A"/>
        </w:rPr>
        <w:t>However, we are not aware of an approach to split the two pathways in quantitative terms in a global context.</w:t>
      </w:r>
      <w:commentRangeEnd w:id="0"/>
      <w:r>
        <w:rPr>
          <w:b w:val="false"/>
          <w:bCs w:val="false"/>
          <w:color w:val="00000A"/>
        </w:rPr>
      </w:r>
      <w:r>
        <w:rPr>
          <w:b w:val="false"/>
          <w:bCs w:val="false"/>
          <w:color w:val="00000A"/>
        </w:rPr>
        <w:commentReference w:id="0"/>
      </w:r>
      <w:r>
        <w:rPr>
          <w:b w:val="false"/>
          <w:bCs w:val="false"/>
          <w:color w:val="00000A"/>
        </w:rPr>
        <w:t xml:space="preserve"> Therefore, we assume the acetoclastic pathway for methanogenesis. A sensitivity analysis could be done in global experiments, for instance by assuming</w:t>
      </w:r>
    </w:p>
    <w:p>
      <w:pPr>
        <w:pStyle w:val="Normal"/>
        <w:rPr>
          <w:b w:val="false"/>
          <w:bCs w:val="false"/>
          <w:color w:val="00000A"/>
        </w:rPr>
      </w:pPr>
      <w:r>
        <w:rPr>
          <w:b w:val="false"/>
          <w:bCs w:val="false"/>
          <w:color w:val="00000A"/>
        </w:rPr>
        <w:t>hydrogenotrophic methanogenesis globally (i.e. replacing ½ by a value depending on the specific pathway).</w:t>
      </w:r>
    </w:p>
    <w:p>
      <w:pPr>
        <w:pStyle w:val="Normal"/>
        <w:rPr>
          <w:b/>
          <w:bCs/>
          <w:color w:val="FF0000"/>
        </w:rPr>
      </w:pPr>
      <w:r>
        <w:rPr>
          <w:b/>
          <w:bCs/>
          <w:color w:val="FF0000"/>
        </w:rPr>
      </w:r>
    </w:p>
    <w:p>
      <w:pPr>
        <w:pStyle w:val="Normal"/>
        <w:rPr>
          <w:b/>
          <w:bCs/>
          <w:color w:val="FF0000"/>
        </w:rPr>
      </w:pPr>
      <w:r>
        <w:rPr>
          <w:b/>
          <w:bCs/>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rPr>
        <w:commentReference w:id="1"/>
      </w:r>
      <w:r>
        <w:rPr>
          <w:b/>
          <w:bCs/>
          <w:color w:val="800000"/>
        </w:rPr>
        <w:t xml:space="preserve">  </w:t>
      </w:r>
    </w:p>
    <w:p>
      <w:pPr>
        <w:pStyle w:val="Normal"/>
        <w:outlineLvl w:val="0"/>
        <w:rPr/>
      </w:pPr>
      <w:r>
        <w:rPr>
          <w:bCs/>
          <w:color w:val="00000A"/>
        </w:rPr>
        <w:t>In general, strongly coupled biogeochemical dynamics complicate the analytical solution of the reaction-transport equation. Calcium carbonate dissolution is kinetically controlled by the amount of CaCO3 and thermodynamically controlled by the ambient concentrations of calcium ion and carbonate ions in the porewaters. The reaction term thus depends on CaCO3, Ca</w:t>
      </w:r>
      <w:r>
        <w:rPr>
          <w:bCs/>
          <w:color w:val="00000A"/>
          <w:vertAlign w:val="superscript"/>
        </w:rPr>
        <w:t>2+</w:t>
      </w:r>
      <w:r>
        <w:rPr>
          <w:bCs/>
          <w:color w:val="00000A"/>
        </w:rPr>
        <w:t xml:space="preserve"> and CO</w:t>
      </w:r>
      <w:r>
        <w:rPr>
          <w:bCs/>
          <w:color w:val="00000A"/>
          <w:vertAlign w:val="subscript"/>
        </w:rPr>
        <w:t>3</w:t>
      </w:r>
      <w:r>
        <w:rPr>
          <w:bCs/>
          <w:color w:val="00000A"/>
          <w:vertAlign w:val="superscript"/>
        </w:rPr>
        <w:t>2-</w:t>
      </w:r>
      <w:r>
        <w:rPr>
          <w:bCs/>
          <w:color w:val="00000A"/>
        </w:rPr>
        <w:t>. The carbonate ion concentration, in turn, depends on DIC and alkalinity (pH). In addition, CaCO3 dissolution exerts on important effect on alkalinity (pH). As a consequence, there is no analytical solution for the fully formulated reaction-transport equation. Certain assumptions for the reaction network have to be made in order to solve the equations analytically. In principle, there is no obstacle, however, the task requires some additional work and model development. As this is not part of the current OMEN-SED model we think it is not necessary to discuss this further in the manuscript. However as</w:t>
      </w:r>
      <w:r>
        <w:rPr/>
        <w:t xml:space="preserve"> in Section 5 “already planned future extensions of OMEN-SED include an explicit description of carbonate dissolution</w:t>
      </w:r>
      <w:r>
        <w:rPr/>
        <w:commentReference w:id="2"/>
      </w:r>
      <w:r>
        <w:rPr/>
        <w:t xml:space="preserve"> and iron.” </w:t>
      </w:r>
    </w:p>
    <w:p>
      <w:pPr>
        <w:pStyle w:val="Normal"/>
        <w:outlineLvl w:val="0"/>
        <w:rPr>
          <w:b/>
          <w:bCs/>
          <w:color w:val="FF0000"/>
        </w:rPr>
      </w:pPr>
      <w:r>
        <w:rPr>
          <w:b/>
          <w:bCs/>
          <w:color w:val="FF0000"/>
        </w:rPr>
        <w:t xml:space="preserve">DH: </w:t>
      </w:r>
      <w:r>
        <w:rPr>
          <w:b/>
          <w:bCs/>
          <w:color w:val="FF0000"/>
        </w:rPr>
        <w:t>I changed it a little, o</w:t>
      </w:r>
      <w:r>
        <w:rPr>
          <w:b/>
          <w:bCs/>
          <w:color w:val="FF0000"/>
        </w:rPr>
        <w:t xml:space="preserve">kay like this? </w:t>
      </w:r>
      <w:r>
        <w:rPr>
          <w:b/>
          <w:bCs/>
          <w:color w:val="FF0000"/>
        </w:rPr>
        <w:t>Sandra has an idea how to do it but does not necessarily give it away here.</w:t>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FF0000"/>
          <w:sz w:val="20"/>
          <w:szCs w:val="20"/>
        </w:rPr>
      </w:pPr>
      <w:r>
        <w:rPr>
          <w:b/>
          <w:bCs/>
        </w:rPr>
        <w:t>Response:</w:t>
      </w:r>
      <w:r>
        <w:rPr>
          <w:b/>
          <w:bCs/>
          <w:color w:val="800000"/>
        </w:rPr>
        <w:t xml:space="preserve">  </w:t>
      </w:r>
      <w:r>
        <w:rPr>
          <w:b/>
          <w:bCs/>
          <w:color w:val="FF0000"/>
          <w:sz w:val="20"/>
          <w:szCs w:val="20"/>
        </w:rPr>
        <w:t>DH: Okay like this?</w:t>
      </w:r>
    </w:p>
    <w:p>
      <w:pPr>
        <w:pStyle w:val="Normal"/>
        <w:outlineLvl w:val="0"/>
        <w:rPr>
          <w:position w:val="0"/>
          <w:sz w:val="24"/>
          <w:vertAlign w:val="baseline"/>
        </w:rPr>
      </w:pPr>
      <w:r>
        <w:rPr/>
        <w:t>We here follow the approaches of Slomp et al. (1996) and Gypens et al. (2008) who both assume that HPO</w:t>
      </w:r>
      <w:r>
        <w:rPr>
          <w:vertAlign w:val="subscript"/>
        </w:rPr>
        <w:t>4</w:t>
      </w:r>
      <w:r>
        <w:rPr>
          <w:vertAlign w:val="superscript"/>
        </w:rPr>
        <w:t xml:space="preserve">2- </w:t>
      </w:r>
      <w:r>
        <w:rPr>
          <w:position w:val="0"/>
          <w:sz w:val="24"/>
          <w:vertAlign w:val="baseline"/>
        </w:rPr>
        <w:t>is released due to the reduction of Fe oxides in the entire reduced sediment zone (i.e. starting at zox).</w:t>
      </w:r>
    </w:p>
    <w:p>
      <w:pPr>
        <w:pStyle w:val="Normal"/>
        <w:outlineLvl w:val="0"/>
        <w:rPr/>
      </w:pPr>
      <w:r>
        <w:rPr/>
      </w:r>
    </w:p>
    <w:p>
      <w:pPr>
        <w:pStyle w:val="Normal"/>
        <w:outlineLvl w:val="0"/>
        <w:rPr>
          <w:b/>
          <w:bCs/>
          <w:color w:val="800000"/>
          <w:sz w:val="20"/>
          <w:szCs w:val="20"/>
        </w:rPr>
      </w:pPr>
      <w:r>
        <w:rPr>
          <w:b/>
          <w:bCs/>
          <w:color w:val="800000"/>
          <w:sz w:val="20"/>
          <w:szCs w:val="20"/>
        </w:rPr>
        <w:t>OLD:</w:t>
      </w:r>
    </w:p>
    <w:p>
      <w:pPr>
        <w:pStyle w:val="Normal"/>
        <w:outlineLvl w:val="0"/>
        <w:rPr>
          <w:b/>
          <w:bCs/>
          <w:color w:val="FF0000"/>
          <w:sz w:val="20"/>
          <w:szCs w:val="20"/>
        </w:rPr>
      </w:pPr>
      <w:r>
        <w:rPr>
          <w:b/>
          <w:bCs/>
          <w:color w:val="FF0000"/>
          <w:sz w:val="20"/>
          <w:szCs w:val="20"/>
        </w:rPr>
        <w:t>Sandra: Because there are no iron oxides.</w:t>
      </w:r>
    </w:p>
    <w:p>
      <w:pPr>
        <w:pStyle w:val="Normal"/>
        <w:outlineLvl w:val="0"/>
        <w:rPr>
          <w:color w:val="00CC33"/>
          <w:sz w:val="20"/>
          <w:szCs w:val="20"/>
        </w:rPr>
      </w:pPr>
      <w:r>
        <w:rPr>
          <w:sz w:val="20"/>
          <w:szCs w:val="20"/>
        </w:rPr>
        <w:t xml:space="preserve">DH: </w:t>
      </w:r>
      <w:r>
        <w:rPr>
          <w:color w:val="00CC33"/>
          <w:sz w:val="20"/>
          <w:szCs w:val="20"/>
        </w:rPr>
        <w:t>I suppose it refers to the denitrification zone!!?? Shouldn't there actually be still P sorption!? But it is anyway a tiny layer....</w:t>
      </w:r>
      <w:r>
        <w:rPr>
          <w:color w:val="00CC33"/>
          <w:sz w:val="20"/>
          <w:szCs w:val="20"/>
        </w:rPr>
        <w:commentReference w:id="3"/>
      </w:r>
      <w:r>
        <w:rPr>
          <w:color w:val="00CC33"/>
          <w:sz w:val="20"/>
          <w:szCs w:val="20"/>
        </w:rPr>
        <w:commentReference w:id="4"/>
      </w:r>
    </w:p>
    <w:p>
      <w:pPr>
        <w:pStyle w:val="Normal"/>
        <w:rPr>
          <w:b/>
          <w:bCs/>
          <w:color w:val="FF0000"/>
          <w:sz w:val="20"/>
          <w:szCs w:val="20"/>
        </w:rPr>
      </w:pPr>
      <w:r>
        <w:rPr>
          <w:b/>
          <w:bCs/>
          <w:color w:val="FF0000"/>
          <w:sz w:val="20"/>
          <w:szCs w:val="20"/>
        </w:rPr>
        <w:t>SHALL WE CHANGE IT TO zno3 or leave zox and cite Gypens and Slomp papers?</w:t>
      </w:r>
    </w:p>
    <w:p>
      <w:pPr>
        <w:pStyle w:val="Normal"/>
        <w:outlineLvl w:val="0"/>
        <w:rPr>
          <w:b/>
          <w:bCs/>
        </w:rPr>
      </w:pPr>
      <w:r>
        <w:rPr>
          <w:b/>
          <w:bCs/>
        </w:rPr>
        <w:t>8. Comment:</w:t>
      </w:r>
    </w:p>
    <w:p>
      <w:pPr>
        <w:pStyle w:val="Normal"/>
        <w:rPr/>
      </w:pPr>
      <w:r>
        <w:rPr/>
        <w:t>A fraction of the sulfide produced is assumed to escape complete oxidation</w:t>
      </w:r>
      <w:r>
        <w:rPr/>
        <w:commentReference w:id="5"/>
      </w:r>
      <w:r>
        <w:rPr/>
        <w:t>.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manuscript which got reviewed, this fraction mimicked the escape from the sediment. However, in response to the first critical comment of reviewer 3 (K. Wallmann) which also addresses this point, we made the following changes to OMEN-SED:</w:t>
      </w:r>
      <w:r>
        <w:rPr/>
        <w:commentReference w:id="6"/>
      </w:r>
      <w:r>
        <w:rPr/>
        <w:commentReference w:id="7"/>
      </w:r>
    </w:p>
    <w:p>
      <w:pPr>
        <w:pStyle w:val="Normal"/>
        <w:rPr/>
      </w:pPr>
      <w:r>
        <w:rPr/>
        <w:t xml:space="preserve">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b w:val="false"/>
          <w:bCs w:val="false"/>
          <w:color w:val="00000A"/>
        </w:rPr>
      </w:pPr>
      <w:r>
        <w:rPr>
          <w:b w:val="false"/>
          <w:bCs w:val="false"/>
          <w:color w:val="00000A"/>
        </w:rPr>
        <w:t>In addition, we introduce another parameter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representing the fraction of sulfide that is precipitated as pyrite (i.e. 0.0 &lt;=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&lt;  1 - </w:t>
      </w:r>
      <w:r>
        <w:rPr>
          <w:rFonts w:ascii="SBL BibLit;SBL Greek;Athena;EB" w:hAnsi="SBL BibLit;SBL Greek;Athena;EB"/>
          <w:b w:val="false"/>
          <w:bCs w:val="false"/>
          <w:color w:val="00000A"/>
        </w:rPr>
        <w:t>γ</w:t>
      </w:r>
      <w:r>
        <w:rPr>
          <w:b w:val="false"/>
          <w:bCs w:val="false"/>
          <w:color w:val="00000A"/>
          <w:vertAlign w:val="subscript"/>
        </w:rPr>
        <w:t>H2S</w:t>
      </w:r>
      <w:r>
        <w:rPr>
          <w:b w:val="false"/>
          <w:bCs w:val="false"/>
          <w:color w:val="00000A"/>
        </w:rPr>
        <w:t xml:space="preserve">) </w:t>
      </w:r>
      <w:r>
        <w:rPr>
          <w:b w:val="false"/>
          <w:bCs w:val="false"/>
          <w:color w:val="00000A"/>
        </w:rPr>
        <w:t>under anoxic</w:t>
      </w:r>
      <w:r>
        <w:rPr>
          <w:b w:val="false"/>
          <w:bCs w:val="false"/>
          <w:color w:val="00000A"/>
        </w:rPr>
        <w:t xml:space="preserve"> bottom waters. The text, tables and equations (for SO4, H2S and alkalinity) are changed accordingly. The presented results have not been changed and we note that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 0.0 for all simulations.</w:t>
      </w:r>
    </w:p>
    <w:p>
      <w:pPr>
        <w:pStyle w:val="Normal"/>
        <w:rPr>
          <w:b w:val="false"/>
          <w:bCs w:val="false"/>
          <w:color w:val="00000A"/>
        </w:rPr>
      </w:pPr>
      <w:r>
        <w:rPr>
          <w:b w:val="false"/>
          <w:bCs w:val="false"/>
          <w:color w:val="00000A"/>
        </w:rPr>
      </w:r>
    </w:p>
    <w:p>
      <w:pPr>
        <w:pStyle w:val="Normal"/>
        <w:rPr>
          <w:rFonts w:ascii="Ubuntu" w:hAnsi="Ubuntu"/>
          <w:b/>
          <w:bCs/>
          <w:i w:val="false"/>
          <w:color w:val="FF0000"/>
          <w:sz w:val="24"/>
          <w:szCs w:val="24"/>
        </w:rPr>
      </w:pPr>
      <w:r>
        <w:rPr>
          <w:rFonts w:ascii="Ubuntu" w:hAnsi="Ubuntu"/>
          <w:b/>
          <w:bCs/>
          <w:i w:val="false"/>
          <w:color w:val="FF0000"/>
          <w:sz w:val="24"/>
          <w:szCs w:val="24"/>
        </w:rPr>
        <w:t>DH:</w:t>
      </w:r>
    </w:p>
    <w:p>
      <w:pPr>
        <w:pStyle w:val="Normal"/>
        <w:rPr/>
      </w:pPr>
      <w:r>
        <w:rPr>
          <w:rFonts w:ascii="Ubuntu" w:hAnsi="Ubuntu"/>
          <w:b w:val="false"/>
          <w:bCs/>
          <w:i w:val="false"/>
          <w:color w:val="FF0000"/>
          <w:sz w:val="20"/>
        </w:rPr>
        <w:t xml:space="preserve">SO we would never get an </w:t>
      </w:r>
      <w:r>
        <w:rPr>
          <w:rFonts w:ascii="Ubuntu" w:hAnsi="Ubuntu"/>
          <w:b/>
          <w:bCs/>
          <w:color w:val="FF0000"/>
          <w:sz w:val="20"/>
        </w:rPr>
        <w:t>H2S return flux???:</w:t>
      </w:r>
      <w:r>
        <w:rPr/>
        <w:t xml:space="preserve"> </w:t>
      </w:r>
    </w:p>
    <w:p>
      <w:pPr>
        <w:pStyle w:val="Normal"/>
        <w:rPr>
          <w:color w:val="FF0000"/>
        </w:rPr>
      </w:pPr>
      <w:r>
        <w:rPr>
          <w:rFonts w:ascii="Ubuntu" w:hAnsi="Ubuntu"/>
          <w:b w:val="false"/>
          <w:i w:val="false"/>
          <w:color w:val="FF0000"/>
          <w:sz w:val="20"/>
        </w:rPr>
        <w:t xml:space="preserve">OXIC: gamma=1.0 - </w:t>
      </w:r>
      <w:r>
        <w:rPr>
          <w:rFonts w:ascii="Ubuntu" w:hAnsi="Ubuntu"/>
          <w:color w:val="FF0000"/>
          <w:sz w:val="20"/>
        </w:rPr>
        <w:t>everything is oxidized</w:t>
      </w:r>
      <w:r>
        <w:rPr>
          <w:color w:val="FF0000"/>
        </w:rPr>
        <w:t xml:space="preserve"> </w:t>
      </w:r>
    </w:p>
    <w:p>
      <w:pPr>
        <w:pStyle w:val="Normal"/>
        <w:rPr>
          <w:rFonts w:ascii="Ubuntu" w:hAnsi="Ubuntu"/>
          <w:color w:val="FF0000"/>
          <w:sz w:val="20"/>
        </w:rPr>
      </w:pPr>
      <w:r>
        <w:rPr>
          <w:rFonts w:ascii="Ubuntu" w:hAnsi="Ubuntu"/>
          <w:b w:val="false"/>
          <w:i w:val="false"/>
          <w:color w:val="FF0000"/>
          <w:sz w:val="20"/>
        </w:rPr>
        <w:t xml:space="preserve">ANOXIC: gamma &lt; 1.0 -    </w:t>
      </w:r>
      <w:r>
        <w:rPr>
          <w:rFonts w:ascii="Ubuntu" w:hAnsi="Ubuntu"/>
          <w:color w:val="FF0000"/>
          <w:sz w:val="20"/>
        </w:rPr>
        <w:t>non-oxidized H2S is going to pyrite??</w:t>
      </w:r>
    </w:p>
    <w:p>
      <w:pPr>
        <w:pStyle w:val="Normal"/>
        <w:rPr>
          <w:rFonts w:ascii="Ubuntu" w:hAnsi="Ubuntu"/>
          <w:color w:val="FF0000"/>
          <w:sz w:val="20"/>
        </w:rPr>
      </w:pPr>
      <w:r>
        <w:rPr>
          <w:rFonts w:ascii="Ubuntu" w:hAnsi="Ubuntu"/>
          <w:b w:val="false"/>
          <w:i w:val="false"/>
          <w:color w:val="FF0000"/>
          <w:sz w:val="20"/>
        </w:rPr>
        <w:t xml:space="preserve">WHAT IF NOT ENOUGH Fe TO </w:t>
      </w:r>
      <w:r>
        <w:rPr>
          <w:rFonts w:ascii="Ubuntu" w:hAnsi="Ubuntu"/>
          <w:color w:val="FF0000"/>
          <w:sz w:val="20"/>
        </w:rPr>
        <w:t>FORM ALL THE PYRITE?</w:t>
      </w:r>
    </w:p>
    <w:p>
      <w:pPr>
        <w:pStyle w:val="Normal"/>
        <w:rPr/>
      </w:pPr>
      <w:r>
        <w:rPr/>
      </w:r>
    </w:p>
    <w:p>
      <w:pPr>
        <w:pStyle w:val="Normal"/>
        <w:outlineLvl w:val="0"/>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Most sediments on the globe are non-sandy, therefore we </w:t>
      </w:r>
      <w:r>
        <w:rPr/>
        <w:t xml:space="preserve">had decided to </w:t>
      </w:r>
      <w:r>
        <w:rPr/>
        <w:t xml:space="preserve">neglect </w:t>
      </w:r>
      <w:r>
        <w:rPr/>
        <w:t>sandy sediments</w:t>
      </w:r>
      <w:r>
        <w:rPr/>
        <w:commentReference w:id="8"/>
      </w:r>
      <w:r>
        <w:rPr/>
        <w:t>. However, the bioirrigation coefficient has been changed and is now represented by the empirical relationship with seafloor depth derived by Soetaert et al. (1996): fir = Min{1; 15.9 · z−0.43 }.</w:t>
      </w:r>
    </w:p>
    <w:p>
      <w:pPr>
        <w:pStyle w:val="Normal"/>
        <w:rPr/>
      </w:pPr>
      <w:r>
        <w:rPr/>
        <w:t xml:space="preserve">The text has been changed to </w:t>
      </w:r>
      <w:r>
        <w:rPr/>
        <w:t>(pg. 25 lines 16-18)</w:t>
      </w:r>
      <w:r>
        <w:rPr/>
        <w:t>:</w:t>
      </w:r>
    </w:p>
    <w:p>
      <w:pPr>
        <w:pStyle w:val="Normal"/>
        <w:rPr>
          <w:b/>
          <w:bCs/>
          <w:color w:val="800000"/>
        </w:rPr>
      </w:pPr>
      <w:r>
        <w:rPr>
          <w:b/>
          <w:bCs/>
          <w:color w:val="800000"/>
        </w:rPr>
        <w:t xml:space="preserve">TODO </w:t>
      </w:r>
      <w:r>
        <w:rPr>
          <w:b/>
          <w:bCs/>
          <w:color w:val="800000"/>
        </w:rPr>
        <w:t>check</w:t>
      </w:r>
      <w:r>
        <w:rPr>
          <w:b/>
          <w:bCs/>
          <w:color w:val="800000"/>
        </w:rPr>
        <w:t xml:space="preserve"> pg + lines</w:t>
      </w:r>
    </w:p>
    <w:p>
      <w:pPr>
        <w:pStyle w:val="Normal"/>
        <w:rPr>
          <w:b w:val="false"/>
          <w:bCs w:val="false"/>
          <w:i/>
          <w:iCs/>
          <w:color w:val="00000A"/>
        </w:rPr>
      </w:pPr>
      <w:r>
        <w:rPr>
          <w:b w:val="false"/>
          <w:bCs w:val="false"/>
          <w:i/>
          <w:iCs/>
          <w:color w:val="00000A"/>
        </w:rPr>
        <w:t>“</w:t>
      </w:r>
      <w:r>
        <w:rPr>
          <w:b w:val="false"/>
          <w:bCs w:val="false"/>
          <w:i/>
          <w:iCs/>
          <w:color w:val="00000A"/>
        </w:rPr>
        <w:t xml:space="preserve">Soetaert et al. (1996) derived an empirical relationship between fir and seafloor depth (fir = Min{1; 15.9 · z −0.43 }) based on observations from Archer and Devol (1992) and Devol and Christensen (1993) which is used </w:t>
      </w:r>
      <w:r>
        <w:rPr>
          <w:b w:val="false"/>
          <w:bCs w:val="false"/>
          <w:i/>
          <w:iCs/>
          <w:color w:val="00000A"/>
        </w:rPr>
        <w:t>in OMEN-SED</w:t>
      </w:r>
      <w:r>
        <w:rPr>
          <w:b w:val="false"/>
          <w:bCs w:val="false"/>
          <w:i/>
          <w:iCs/>
          <w:color w:val="00000A"/>
        </w:rPr>
        <w:t>.“</w:t>
      </w:r>
    </w:p>
    <w:p>
      <w:pPr>
        <w:pStyle w:val="Normal"/>
        <w:rPr>
          <w:b w:val="false"/>
          <w:bCs w:val="false"/>
          <w:i/>
          <w:iCs/>
          <w:color w:val="00000A"/>
        </w:rPr>
      </w:pPr>
      <w:r>
        <w:rPr>
          <w:b w:val="false"/>
          <w:bCs w:val="false"/>
          <w:i/>
          <w:iCs/>
          <w:color w:val="00000A"/>
        </w:rPr>
      </w:r>
    </w:p>
    <w:p>
      <w:pPr>
        <w:pStyle w:val="Normal"/>
        <w:rPr>
          <w:b/>
          <w:bCs/>
          <w:i w:val="false"/>
          <w:iCs w:val="false"/>
          <w:color w:val="FF0000"/>
        </w:rPr>
      </w:pPr>
      <w:r>
        <w:rPr>
          <w:b/>
          <w:bCs/>
          <w:i w:val="false"/>
          <w:iCs w:val="false"/>
          <w:color w:val="FF0000"/>
        </w:rPr>
        <w:t>DH: Shall we add something similar to Krumins in the limitations section or just in the response to the comment or in the paragraph on bioirrigation?</w:t>
      </w:r>
    </w:p>
    <w:p>
      <w:pPr>
        <w:pStyle w:val="Normal"/>
        <w:rPr>
          <w:b/>
          <w:bCs/>
          <w:i w:val="false"/>
          <w:iCs w:val="false"/>
          <w:color w:val="FF0000"/>
        </w:rPr>
      </w:pPr>
      <w:r>
        <w:rPr>
          <w:b/>
          <w:bCs/>
          <w:i w:val="false"/>
          <w:iCs w:val="false"/>
          <w:color w:val="FF0000"/>
        </w:rPr>
      </w:r>
    </w:p>
    <w:p>
      <w:pPr>
        <w:pStyle w:val="Normal"/>
        <w:rPr>
          <w:b/>
          <w:bCs/>
          <w:i w:val="false"/>
          <w:iCs w:val="false"/>
          <w:color w:val="FF0000"/>
        </w:rPr>
      </w:pPr>
      <w:r>
        <w:rPr>
          <w:b/>
          <w:bCs/>
          <w:i w:val="false"/>
          <w:iCs w:val="false"/>
          <w:color w:val="FF0000"/>
        </w:rPr>
      </w:r>
    </w:p>
    <w:p>
      <w:pPr>
        <w:pStyle w:val="Normal"/>
        <w:outlineLvl w:val="0"/>
        <w:rPr>
          <w:b/>
          <w:bCs/>
        </w:rPr>
      </w:pPr>
      <w:r>
        <w:rPr>
          <w:b/>
          <w:bCs/>
        </w:rPr>
        <w:t xml:space="preserve">17. </w:t>
      </w: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b/>
          <w:bCs/>
          <w:color w:val="800000"/>
        </w:rPr>
      </w:pPr>
      <w:r>
        <w:rPr/>
        <w:t xml:space="preserve">We added the following sentence to Section “4.2 Parameterising the OM degradation rate constants in a global model” </w:t>
      </w:r>
      <w:r>
        <w:rPr/>
        <w:t>(pg 45, lines 10-11)</w:t>
      </w:r>
      <w:r>
        <w:rPr/>
        <w:t>:</w:t>
      </w:r>
      <w:r>
        <w:rPr/>
        <w:commentReference w:id="9"/>
      </w:r>
      <w:r>
        <w:rPr/>
        <w:t xml:space="preserve"> </w:t>
      </w:r>
      <w:r>
        <w:rPr>
          <w:b/>
          <w:bCs/>
          <w:color w:val="800000"/>
        </w:rPr>
        <w:t xml:space="preserve">TODO </w:t>
      </w:r>
      <w:r>
        <w:rPr>
          <w:b/>
          <w:bCs/>
          <w:color w:val="800000"/>
        </w:rPr>
        <w:t>check</w:t>
      </w:r>
      <w:r>
        <w:rPr>
          <w:b/>
          <w:bCs/>
          <w:color w:val="800000"/>
        </w:rPr>
        <w:t xml:space="preserve"> pg + lines</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i w:val="false"/>
          <w:iCs w:val="false"/>
          <w:color w:val="FF0000"/>
        </w:rPr>
      </w:pPr>
      <w:r>
        <w:rPr>
          <w:b/>
          <w:bCs/>
          <w:i w:val="false"/>
          <w:iCs w:val="false"/>
          <w:color w:val="FF0000"/>
        </w:rPr>
      </w:r>
    </w:p>
    <w:p>
      <w:pPr>
        <w:pStyle w:val="Normal"/>
        <w:rPr>
          <w:b/>
          <w:bCs/>
          <w:i w:val="false"/>
          <w:iCs w:val="false"/>
          <w:color w:val="FF0000"/>
        </w:rPr>
      </w:pPr>
      <w:r>
        <w:rPr>
          <w:b/>
          <w:bCs/>
          <w:i w:val="false"/>
          <w:iCs w:val="false"/>
          <w:color w:val="FF0000"/>
        </w:rPr>
        <w:t>DH: Is this sufficient?</w:t>
      </w:r>
    </w:p>
    <w:p>
      <w:pPr>
        <w:pStyle w:val="Normal"/>
        <w:outlineLvl w:val="0"/>
        <w:rPr>
          <w:b/>
          <w:bCs/>
          <w:i w:val="false"/>
          <w:iCs w:val="false"/>
          <w:color w:val="FF0000"/>
        </w:rPr>
      </w:pPr>
      <w:r>
        <w:rPr>
          <w:b/>
          <w:bCs/>
          <w:i w:val="false"/>
          <w:iCs w:val="false"/>
          <w:color w:val="FF0000"/>
        </w:rPr>
      </w:r>
    </w:p>
    <w:p>
      <w:pPr>
        <w:pStyle w:val="Normal"/>
        <w:outlineLvl w:val="0"/>
        <w:rPr>
          <w:b/>
          <w:bCs/>
          <w:i w:val="false"/>
          <w:iCs w:val="false"/>
          <w:color w:val="FF0000"/>
        </w:rPr>
      </w:pPr>
      <w:r>
        <w:rPr>
          <w:b/>
          <w:bCs/>
          <w:i w:val="false"/>
          <w:iCs w:val="false"/>
          <w:color w:val="FF0000"/>
        </w:rPr>
      </w:r>
    </w:p>
    <w:p>
      <w:pPr>
        <w:pStyle w:val="Normal"/>
        <w:outlineLvl w:val="0"/>
        <w:rPr>
          <w:b/>
          <w:bCs/>
          <w:i w:val="false"/>
          <w:iCs w:val="false"/>
          <w:color w:val="FF0000"/>
        </w:rPr>
      </w:pPr>
      <w:r>
        <w:rPr>
          <w:b/>
          <w:bCs/>
          <w:i w:val="false"/>
          <w:iCs w:val="false"/>
          <w:color w:val="FF0000"/>
        </w:rPr>
      </w:r>
    </w:p>
    <w:p>
      <w:pPr>
        <w:pStyle w:val="Normal"/>
        <w:outlineLvl w:val="0"/>
        <w:rPr>
          <w:b/>
          <w:bCs/>
          <w:sz w:val="28"/>
          <w:szCs w:val="28"/>
        </w:rPr>
      </w:pPr>
      <w:r>
        <w:rPr>
          <w:b/>
          <w:bCs/>
          <w:sz w:val="28"/>
          <w:szCs w:val="28"/>
        </w:rPr>
        <w:t>Anonymous Referee #2</w:t>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b w:val="false"/>
          <w:bCs w:val="false"/>
          <w:i w:val="false"/>
          <w:iCs w:val="false"/>
          <w:color w:val="00000A"/>
          <w:sz w:val="24"/>
          <w:szCs w:val="24"/>
        </w:rPr>
      </w:pPr>
      <w:r>
        <w:rPr>
          <w:b w:val="false"/>
          <w:bCs w:val="false"/>
          <w:i w:val="false"/>
          <w:iCs w:val="false"/>
          <w:color w:val="auto"/>
          <w:sz w:val="24"/>
          <w:szCs w:val="24"/>
        </w:rPr>
        <w:t>T</w:t>
      </w:r>
      <w:r>
        <w:rPr>
          <w:b w:val="false"/>
          <w:bCs w:val="false"/>
          <w:i w:val="false"/>
          <w:iCs w:val="false"/>
          <w:color w:val="auto"/>
          <w:sz w:val="24"/>
          <w:szCs w:val="24"/>
        </w:rPr>
        <w:t xml:space="preserve">he comparison of OMEN-SED with the results of the numerically solved RTM (Section 3.3) allows evaluating to which extend </w:t>
      </w:r>
      <w:r>
        <w:rPr>
          <w:b w:val="false"/>
          <w:bCs w:val="false"/>
          <w:i w:val="false"/>
          <w:iCs w:val="false"/>
          <w:color w:val="00000A"/>
          <w:sz w:val="24"/>
          <w:szCs w:val="24"/>
        </w:rPr>
        <w:t xml:space="preserve">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We </w:t>
      </w:r>
      <w:r>
        <w:rPr/>
        <w:t xml:space="preserve">also </w:t>
      </w:r>
      <w:r>
        <w:rPr/>
        <w:t>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r>
        <w:rPr/>
        <w:commentReference w:id="10"/>
      </w:r>
    </w:p>
    <w:p>
      <w:pPr>
        <w:pStyle w:val="Normal"/>
        <w:rPr/>
      </w:pPr>
      <w:r>
        <w:rPr/>
      </w:r>
    </w:p>
    <w:p>
      <w:pPr>
        <w:pStyle w:val="Normal"/>
        <w:rPr>
          <w:b/>
          <w:bCs/>
          <w:color w:val="009900"/>
        </w:rPr>
      </w:pPr>
      <w:r>
        <w:rPr>
          <w:b/>
          <w:bCs/>
          <w:color w:val="009900"/>
        </w:rPr>
        <w:t>TODO pg and line:</w:t>
      </w:r>
    </w:p>
    <w:p>
      <w:pPr>
        <w:pStyle w:val="Normal"/>
        <w:rPr/>
      </w:pPr>
      <w:r>
        <w:rPr/>
        <w:t>W</w:t>
      </w:r>
      <w:r>
        <w:rPr/>
        <w:t xml:space="preserve">e included a little paragraph on this in the limitation section </w:t>
      </w:r>
      <w:r>
        <w:rPr/>
        <w:t>(pg 55 lines 3-8)</w:t>
      </w:r>
      <w:r>
        <w:rPr/>
        <w:t>:</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r>
        <w:rPr>
          <w:i/>
          <w:iCs/>
        </w:rPr>
        <w:t>”</w:t>
      </w:r>
    </w:p>
    <w:p>
      <w:pPr>
        <w:pStyle w:val="Normal"/>
        <w:rPr/>
      </w:pPr>
      <w:r>
        <w:rPr/>
      </w:r>
    </w:p>
    <w:p>
      <w:pPr>
        <w:pStyle w:val="Normal"/>
        <w:outlineLvl w:val="0"/>
        <w:rPr>
          <w:b/>
          <w:bCs/>
          <w:color w:val="FF0000"/>
        </w:rPr>
      </w:pPr>
      <w:r>
        <w:rPr>
          <w:b/>
          <w:bCs/>
          <w:color w:val="FF0000"/>
        </w:rPr>
        <w:t>DH: I changed the sentence. I</w:t>
      </w:r>
      <w:r>
        <w:rPr>
          <w:b/>
          <w:bCs/>
          <w:color w:val="FF0000"/>
        </w:rPr>
        <w:t>s</w:t>
      </w:r>
      <w:r>
        <w:rPr>
          <w:b/>
          <w:bCs/>
          <w:color w:val="FF0000"/>
        </w:rPr>
        <w:t xml:space="preserve"> it better/okay like this?</w:t>
      </w:r>
    </w:p>
    <w:p>
      <w:pPr>
        <w:pStyle w:val="Normal"/>
        <w:outlineLvl w:val="0"/>
        <w:rPr/>
      </w:pPr>
      <w:r>
        <w:rPr/>
      </w:r>
    </w:p>
    <w:p>
      <w:pPr>
        <w:pStyle w:val="Normal"/>
        <w:outlineLvl w:val="0"/>
        <w:rPr>
          <w:b/>
          <w:bCs/>
          <w:color w:val="FF0000"/>
          <w:sz w:val="18"/>
          <w:szCs w:val="18"/>
        </w:rPr>
      </w:pPr>
      <w:r>
        <w:rPr>
          <w:b/>
          <w:bCs/>
          <w:color w:val="FF0000"/>
          <w:sz w:val="18"/>
          <w:szCs w:val="18"/>
        </w:rPr>
        <w:t>DH: OLD version:</w:t>
      </w:r>
    </w:p>
    <w:p>
      <w:pPr>
        <w:pStyle w:val="Normal"/>
        <w:outlineLvl w:val="0"/>
        <w:rPr>
          <w:b/>
          <w:bCs/>
          <w:i/>
          <w:iCs/>
          <w:color w:val="FF0000"/>
          <w:sz w:val="18"/>
          <w:szCs w:val="18"/>
        </w:rPr>
      </w:pPr>
      <w:r>
        <w:rPr>
          <w:b w:val="false"/>
          <w:bCs w:val="false"/>
          <w:i/>
          <w:iCs/>
          <w:color w:val="auto"/>
          <w:sz w:val="18"/>
          <w:szCs w:val="18"/>
        </w:rPr>
        <w:t>“</w:t>
      </w:r>
      <w:r>
        <w:rPr>
          <w:b w:val="false"/>
          <w:bCs w:val="false"/>
          <w:i/>
          <w:iCs/>
          <w:color w:val="auto"/>
          <w:sz w:val="18"/>
          <w:szCs w:val="18"/>
        </w:rPr>
        <w:t xml:space="preserve">The depth invariant porosity introduces a certain error to simulation results as in reality porosity decreases with sediment depth. However, the comparison of OMEN-SED with the results of the numerically solved RTM (Section 3.3) allows evaluating to which extend </w:t>
      </w:r>
      <w:r>
        <w:rPr>
          <w:b w:val="false"/>
          <w:bCs w:val="false"/>
          <w:i/>
          <w:iCs/>
          <w:color w:val="00000A"/>
          <w:sz w:val="18"/>
          <w:szCs w:val="18"/>
        </w:rPr>
        <w:t>simplifying assumptions (e.g. constant porosity, non-overlapping redox zones etc) affect simulation results and, thus, quantitatively test the performance of the computationally efficient OMEN-SED approach against the computationally expensive numerical approach. From this we deduce that the results are not particularly sensitive to porosity changes</w:t>
      </w:r>
      <w:r>
        <w:rPr>
          <w:b/>
          <w:bCs/>
          <w:i/>
          <w:iCs/>
          <w:color w:val="FF0000"/>
          <w:sz w:val="18"/>
          <w:szCs w:val="18"/>
        </w:rPr>
        <w:t>.”</w:t>
      </w:r>
    </w:p>
    <w:p>
      <w:pPr>
        <w:pStyle w:val="Normal"/>
        <w:outlineLvl w:val="0"/>
        <w:rPr/>
      </w:pPr>
      <w:r>
        <w:rPr/>
      </w:r>
    </w:p>
    <w:p>
      <w:pPr>
        <w:pStyle w:val="Normal"/>
        <w:rPr>
          <w:sz w:val="18"/>
          <w:szCs w:val="18"/>
        </w:rPr>
      </w:pPr>
      <w:r>
        <w:rPr>
          <w:b/>
          <w:bCs/>
          <w:color w:val="009900"/>
          <w:sz w:val="18"/>
          <w:szCs w:val="18"/>
        </w:rPr>
        <w:t>TODO:</w:t>
      </w:r>
      <w:r>
        <w:rPr>
          <w:sz w:val="18"/>
          <w:szCs w:val="18"/>
        </w:rPr>
        <w:t xml:space="preserve"> E.g. The depth invariant porosity introduces a certain error as in reality porosity decreases with sediment depth. However, the error is not very large as has been shown by comparing the performance of OMEN-SED against observed data (Section 3.2) </w:t>
      </w:r>
      <w:r>
        <w:rPr>
          <w:sz w:val="18"/>
          <w:szCs w:val="18"/>
        </w:rPr>
        <w:commentReference w:id="11"/>
      </w:r>
      <w:r>
        <w:rPr>
          <w:sz w:val="18"/>
          <w:szCs w:val="18"/>
        </w:rPr>
        <w:t>and against model results from a fully formulated RTM with depth-varying porosity (Section 3.3).</w:t>
      </w:r>
    </w:p>
    <w:p>
      <w:pPr>
        <w:pStyle w:val="Normal"/>
        <w:rPr/>
      </w:pPr>
      <w:r>
        <w:rPr/>
      </w:r>
    </w:p>
    <w:p>
      <w:pPr>
        <w:pStyle w:val="Normal"/>
        <w:outlineLvl w:val="0"/>
        <w:rPr/>
      </w:pPr>
      <w:r>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outlineLvl w:val="0"/>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r>
        <w:rPr/>
        <w:commentReference w:id="12"/>
      </w:r>
    </w:p>
    <w:p>
      <w:pPr>
        <w:pStyle w:val="Normal"/>
        <w:outlineLvl w:val="0"/>
        <w:rPr/>
      </w:pPr>
      <w:r>
        <w:rPr/>
      </w:r>
    </w:p>
    <w:p>
      <w:pPr>
        <w:pStyle w:val="Normal"/>
        <w:outlineLvl w:val="0"/>
        <w:rPr>
          <w:b/>
          <w:bCs/>
          <w:color w:val="00000A"/>
        </w:rPr>
      </w:pPr>
      <w:r>
        <w:rPr>
          <w:b/>
          <w:bCs/>
          <w:color w:val="00000A"/>
        </w:rPr>
        <w:t xml:space="preserve">Response:  </w:t>
      </w:r>
    </w:p>
    <w:p>
      <w:pPr>
        <w:pStyle w:val="Normal"/>
        <w:rPr/>
      </w:pPr>
      <w:r>
        <w:rPr/>
        <w:t xml:space="preserve">We thank Prof. Wallmann for this very valid suggestion. At this rather advanced stage of the model development and evaluation processes we decided to implement the following changes to OMEN-SED: 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Pyr</w:t>
      </w:r>
      <w:r>
        <w:rPr/>
        <w:t>) representing the fraction of sulfide that is precipitated as pyrite (</w:t>
      </w:r>
      <w:r>
        <w:rPr>
          <w:color w:val="00000A"/>
        </w:rPr>
        <w:t>i.e.</w:t>
      </w:r>
      <w:r>
        <w:rPr/>
        <w:t xml:space="preserve"> 0.0 &lt;= </w:t>
      </w:r>
      <w:r>
        <w:rPr>
          <w:rFonts w:ascii="SBL BibLit;SBL Greek;Athena;EB" w:hAnsi="SBL BibLit;SBL Greek;Athena;EB"/>
        </w:rPr>
        <w:t>γ</w:t>
      </w:r>
      <w:r>
        <w:rPr>
          <w:vertAlign w:val="subscript"/>
        </w:rPr>
        <w:t>Pyr</w:t>
      </w:r>
      <w:r>
        <w:rPr/>
        <w:t xml:space="preserve"> &lt;  1 - </w:t>
      </w:r>
      <w:r>
        <w:rPr>
          <w:rFonts w:ascii="SBL BibLit;SBL Greek;Athena;EB" w:hAnsi="SBL BibLit;SBL Greek;Athena;EB"/>
        </w:rPr>
        <w:t>γ</w:t>
      </w:r>
      <w:r>
        <w:rPr>
          <w:vertAlign w:val="subscript"/>
        </w:rPr>
        <w:t>H2S</w:t>
      </w:r>
      <w:r>
        <w:rPr/>
        <w:t xml:space="preserve">) when bottom waters are anoxic. The text, tables and equations (for SO4, H2S and alkalinity) are changed accordingly. The presented results have not been changed and we note that </w:t>
      </w:r>
      <w:r>
        <w:rPr>
          <w:rFonts w:ascii="SBL BibLit;SBL Greek;Athena;EB" w:hAnsi="SBL BibLit;SBL Greek;Athena;EB"/>
        </w:rPr>
        <w:t>γ</w:t>
      </w:r>
      <w:r>
        <w:rPr>
          <w:vertAlign w:val="subscript"/>
        </w:rPr>
        <w:t>Pyr</w:t>
      </w:r>
      <w:r>
        <w:rPr/>
        <w:t xml:space="preserve"> = 0.0 for all simulations.</w:t>
      </w:r>
    </w:p>
    <w:p>
      <w:pPr>
        <w:pStyle w:val="Normal"/>
        <w:rPr/>
      </w:pPr>
      <w:r>
        <w:rPr/>
      </w:r>
    </w:p>
    <w:p>
      <w:pPr>
        <w:pStyle w:val="Normal"/>
        <w:rPr>
          <w:b/>
          <w:bCs/>
          <w:color w:val="FF0000"/>
        </w:rPr>
      </w:pPr>
      <w:r>
        <w:rPr>
          <w:b/>
          <w:bCs/>
          <w:color w:val="FF0000"/>
        </w:rPr>
        <w:t>DH: Okay like this???</w:t>
      </w:r>
    </w:p>
    <w:p>
      <w:pPr>
        <w:pStyle w:val="Normal"/>
        <w:rPr>
          <w:b/>
          <w:bCs/>
          <w:color w:val="FF0000"/>
          <w:sz w:val="20"/>
          <w:szCs w:val="20"/>
        </w:rPr>
      </w:pPr>
      <w:r>
        <w:rPr>
          <w:b/>
          <w:bCs/>
          <w:color w:val="FF0000"/>
          <w:sz w:val="20"/>
          <w:szCs w:val="20"/>
        </w:rPr>
      </w:r>
    </w:p>
    <w:p>
      <w:pPr>
        <w:pStyle w:val="Normal"/>
        <w:rPr>
          <w:b/>
          <w:bCs/>
          <w:color w:val="FF0000"/>
          <w:sz w:val="20"/>
          <w:szCs w:val="20"/>
        </w:rPr>
      </w:pPr>
      <w:r>
        <w:rPr>
          <w:b/>
          <w:bCs/>
          <w:color w:val="FF0000"/>
          <w:sz w:val="20"/>
          <w:szCs w:val="20"/>
        </w:rPr>
        <w:t>OLD:</w:t>
      </w:r>
    </w:p>
    <w:p>
      <w:pPr>
        <w:pStyle w:val="Normal"/>
        <w:rPr>
          <w:color w:val="00000A"/>
          <w:sz w:val="20"/>
          <w:szCs w:val="20"/>
        </w:rPr>
      </w:pPr>
      <w:r>
        <w:rPr>
          <w:b/>
          <w:bCs/>
          <w:color w:val="FF0000"/>
          <w:sz w:val="20"/>
          <w:szCs w:val="20"/>
        </w:rPr>
        <w:t xml:space="preserve">??? </w:t>
      </w:r>
      <w:r>
        <w:rPr>
          <w:sz w:val="20"/>
          <w:szCs w:val="20"/>
        </w:rPr>
        <w:t>So should I assume that under oxic conditions all H2S gets oxidized</w:t>
      </w:r>
      <w:r>
        <w:rPr>
          <w:sz w:val="20"/>
          <w:szCs w:val="20"/>
        </w:rPr>
        <w:commentReference w:id="13"/>
      </w:r>
      <w:r>
        <w:rPr>
          <w:sz w:val="20"/>
          <w:szCs w:val="20"/>
        </w:rPr>
        <w:t>? But still with O2 and not with nitrate</w:t>
      </w:r>
      <w:r>
        <w:rPr>
          <w:sz w:val="20"/>
          <w:szCs w:val="20"/>
        </w:rPr>
        <w:commentReference w:id="14"/>
      </w:r>
      <w:r>
        <w:rPr>
          <w:sz w:val="20"/>
          <w:szCs w:val="20"/>
        </w:rPr>
        <w:t xml:space="preserve">? But we could leave </w:t>
      </w:r>
      <w:r>
        <w:rPr>
          <w:rFonts w:ascii="SBL BibLit;SBL Greek;Athena;EB" w:hAnsi="SBL BibLit;SBL Greek;Athena;EB"/>
          <w:color w:val="FF0000"/>
          <w:sz w:val="20"/>
          <w:szCs w:val="20"/>
        </w:rPr>
        <w:t>γ</w:t>
      </w:r>
      <w:r>
        <w:rPr>
          <w:color w:val="FF0000"/>
          <w:sz w:val="20"/>
          <w:szCs w:val="20"/>
          <w:vertAlign w:val="subscript"/>
        </w:rPr>
        <w:t>H2S</w:t>
      </w:r>
      <w:r>
        <w:rPr>
          <w:color w:val="FF0000"/>
          <w:sz w:val="20"/>
          <w:szCs w:val="20"/>
        </w:rPr>
        <w:t xml:space="preserve"> </w:t>
      </w:r>
      <w:r>
        <w:rPr>
          <w:sz w:val="20"/>
          <w:szCs w:val="20"/>
        </w:rPr>
        <w:t>in for anoxic environments and introduce</w:t>
      </w:r>
      <w:r>
        <w:rPr>
          <w:color w:val="00000A"/>
          <w:sz w:val="20"/>
          <w:szCs w:val="20"/>
        </w:rPr>
        <w:t xml:space="preserve"> a new parameter that defines the fraction of sulfide that is precipitated as pyrite (you wanted that anyway ;) ).</w:t>
      </w:r>
    </w:p>
    <w:p>
      <w:pPr>
        <w:pStyle w:val="Normal"/>
        <w:outlineLvl w:val="0"/>
        <w:rPr>
          <w:b/>
          <w:bCs/>
          <w:color w:val="FF0000"/>
          <w:sz w:val="20"/>
          <w:szCs w:val="20"/>
        </w:rPr>
      </w:pPr>
      <w:r>
        <w:rPr>
          <w:b/>
          <w:bCs/>
          <w:color w:val="FF0000"/>
          <w:sz w:val="20"/>
          <w:szCs w:val="20"/>
        </w:rPr>
        <w:t>How to update the alkalinity model</w:t>
      </w:r>
      <w:r>
        <w:rPr>
          <w:b/>
          <w:bCs/>
          <w:color w:val="FF0000"/>
          <w:sz w:val="20"/>
          <w:szCs w:val="20"/>
        </w:rPr>
        <w:commentReference w:id="15"/>
      </w:r>
      <w:r>
        <w:rPr>
          <w:b/>
          <w:bCs/>
          <w:color w:val="FF0000"/>
          <w:sz w:val="20"/>
          <w:szCs w:val="20"/>
        </w:rPr>
        <w:t>?</w:t>
      </w:r>
    </w:p>
    <w:p>
      <w:pPr>
        <w:pStyle w:val="Normal"/>
        <w:rPr/>
      </w:pPr>
      <w:r>
        <w:rPr/>
      </w:r>
    </w:p>
    <w:p>
      <w:pPr>
        <w:pStyle w:val="Normal"/>
        <w:outlineLvl w:val="0"/>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8-04-16T16:06:45Z" w:initials="">
    <w:p>
      <w:r>
        <w:rPr>
          <w:rFonts w:cs="FreeSans" w:ascii="Ubuntu" w:hAnsi="Ubuntu" w:eastAsia="Droid Sans Fallback"/>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DH: Okay, to state this? Or delete?</w:t>
      </w:r>
    </w:p>
  </w:comment>
  <w:comment w:id="1" w:author="Pierre Regnier" w:date="2018-04-13T14:18:00Z" w:initials="PR">
    <w:p>
      <w:r>
        <w:rPr/>
        <w:t xml:space="preserve">I find this answer a bit convoluted. </w:t>
      </w:r>
    </w:p>
  </w:comment>
  <w:comment w:id="2" w:author="Pierre Regnier" w:date="2018-04-13T14:19:00Z" w:initials="PR">
    <w:p>
      <w:r>
        <w:rPr/>
        <w:t>can you not expand on this by statin clearly that in principle there is no obstacle, but that this requires a specific development (can you be precise here ?)</w:t>
      </w:r>
    </w:p>
  </w:comment>
  <w:comment w:id="3" w:author="Sandra Arndt" w:date="2018-04-02T11:00:00Z" w:initials="SA">
    <w:p>
      <w:r>
        <w:rPr/>
        <w:t>Yes the limit should be zno3 and not zox. Is that a typo?</w:t>
      </w:r>
    </w:p>
    <w:p>
      <w:r>
        <w:rPr/>
        <w:t>How is it in the gypens paper?</w:t>
      </w:r>
    </w:p>
  </w:comment>
  <w:comment w:id="4" w:author="Unknown Author" w:date="2018-04-03T11:48:00Z" w:initials="">
    <w:p>
      <w:r>
        <w:rPr>
          <w:rFonts w:ascii="Ubuntu" w:hAnsi="Ubuntu"/>
          <w:i/>
          <w:color w:val="00000A"/>
          <w:sz w:val="16"/>
        </w:rPr>
        <w:t>Reply to Sandra Arndt (04/02/2018, 11:00): "..."</w:t>
      </w:r>
    </w:p>
    <w:p>
      <w:r>
        <w:rPr>
          <w:rFonts w:ascii="Ubuntu" w:hAnsi="Ubuntu"/>
          <w:sz w:val="20"/>
        </w:rPr>
        <w:t>In both Gypens and Slomp et al. (1996) P-sorption stops at zox and desorption starts!</w:t>
      </w:r>
    </w:p>
  </w:comment>
  <w:comment w:id="5" w:author="Pierre Regnier" w:date="2018-04-13T16:30:00Z" w:initials="PR">
    <w:p>
      <w:r>
        <w:rPr/>
        <w:t>there is a good discussion on this topic in Krumins BG, 2013. The point is that even if you have H2S escaping, it will be readily oxidized in the water column. In the context of BC coupling, maybe the strategy would be to state no escape, except when you have anoxic waters (i.e. you could make gamma_H2S a function of water column oxygen levels). And I agree that the fraction that does escape oxidation is the one going to pyrite.</w:t>
      </w:r>
    </w:p>
  </w:comment>
  <w:comment w:id="6" w:author="Sandra Arndt" w:date="2018-04-02T11:02:00Z" w:initials="SA">
    <w:p>
      <w:r>
        <w:rPr/>
        <w:t>Have you done this??</w:t>
      </w:r>
    </w:p>
  </w:comment>
  <w:comment w:id="7" w:author="Unknown Author" w:date="2018-04-03T11:57:00Z" w:initials="">
    <w:p>
      <w:r>
        <w:rPr>
          <w:rFonts w:ascii="Ubuntu" w:hAnsi="Ubuntu"/>
          <w:i/>
          <w:color w:val="00000A"/>
          <w:sz w:val="16"/>
        </w:rPr>
        <w:t>Reply to Sandra Arndt (04/02/2018, 11:02): "..."</w:t>
      </w:r>
    </w:p>
    <w:p>
      <w:r>
        <w:rPr>
          <w:rFonts w:ascii="Ubuntu" w:hAnsi="Ubuntu"/>
          <w:sz w:val="20"/>
        </w:rPr>
        <w:t>Not yet. I suppose, I should now...</w:t>
      </w:r>
    </w:p>
    <w:p>
      <w:r>
        <w:rPr>
          <w:rFonts w:ascii="Ubuntu" w:hAnsi="Ubuntu"/>
          <w:sz w:val="20"/>
        </w:rPr>
        <w:t>Also include it in the sensitivity analysis?</w:t>
      </w:r>
    </w:p>
  </w:comment>
  <w:comment w:id="8" w:author="Pierre Regnier" w:date="2018-04-13T16:35:00Z" w:initials="PR">
    <w:p>
      <w:r>
        <w:rPr/>
        <w:t>yes, but this might still be an issue for coastal sediments – Here is the relevant paragraph from Krumins “</w:t>
      </w:r>
      <w:r>
        <w:rPr>
          <w:rFonts w:ascii="Times" w:hAnsi="Times" w:cs="Times"/>
          <w:sz w:val="26"/>
          <w:szCs w:val="26"/>
          <w:lang w:val="fr-FR" w:bidi="ar-SA"/>
        </w:rPr>
        <w:t>The approach presented here also may not be appropriate for modeling non-accumulating permeable sands, which may comprise up to 70% of shelf area (Jahnke et al., 2005). There is relatively little information on carbon fluxes from such sediments, but the few studies reveal a significant potential for organic oxidation and DIC release (Reimers et al., 2004; Jahnke et al., 2005; Rusch et al., 2006; Burdige et al., 2010). Further attention should thus be given to these settings in the future. »</w:t>
      </w:r>
    </w:p>
  </w:comment>
  <w:comment w:id="9" w:author="Pierre Regnier" w:date="2018-04-13T16:41:00Z" w:initials="PR">
    <w:p>
      <w:r>
        <w:rPr/>
        <w:t>agreed !</w:t>
      </w:r>
    </w:p>
  </w:comment>
  <w:comment w:id="10" w:author="Sandra Arndt" w:date="2018-04-13T16:53: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p>
      <w:r>
        <w:rPr/>
      </w:r>
    </w:p>
    <w:p>
      <w:r>
        <w:rPr/>
        <w:t>PR: I AGREE TO INSIST ON THIS</w:t>
      </w:r>
    </w:p>
  </w:comment>
  <w:comment w:id="11" w:author="Pierre Regnier" w:date="2018-04-13T16:55:00Z" w:initials="PR">
    <w:p>
      <w:r>
        <w:rPr/>
        <w:t>Not sure we can really deduce this conclusion form this comparison. A would also modify the text following comment 24 or Sandra (in some respect note very large should be compared to other simplificqtion sin current global scale models).</w:t>
      </w:r>
    </w:p>
  </w:comment>
  <w:comment w:id="12"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13" w:author="Pierre Regnier" w:date="2018-04-13T17:06:00Z" w:initials="PR">
    <w:p>
      <w:r>
        <w:rPr/>
        <w:t>see my comment to reviewer 1 – I would say yes, instead in anoxic waters. This should be easy to implement (f.i. use the water column bc from previous time step to adapt this parameter).</w:t>
      </w:r>
    </w:p>
  </w:comment>
  <w:comment w:id="14" w:author="Pierre Regnier" w:date="2018-04-13T17:08:00Z" w:initials="PR">
    <w:p>
      <w:r>
        <w:rPr/>
        <w:t>for this one, I am not sure – I think that this process is only effective in areas where bacteria can accumulate the water column nitrate. Otherwise, it is hard to keep up with the large H2S fluxes. Maybe I would only do O2 and mention that this could eventually be extended to NO3 in the text.</w:t>
      </w:r>
    </w:p>
  </w:comment>
  <w:comment w:id="15" w:author="Pierre Regnier" w:date="2018-04-13T17:09:00Z" w:initials="PR">
    <w:p>
      <w:r>
        <w:rPr/>
        <w:t>is this not described in Krumins BG (I think yes)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Ubuntu">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2018-04-16T16:06:06Z</dcterms:created>
  <dc:language>en-US</dc:language>
  <cp:revision>0</cp:revision>
</cp:coreProperties>
</file>