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Complete responses FINAL</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w:t>
      </w:r>
      <w:r>
        <w:rPr/>
        <w:commentReference w:id="0"/>
      </w:r>
      <w:r>
        <w:rPr/>
        <w:t>: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 xml:space="preserve">No that is further development. </w:t>
      </w:r>
      <w:r>
        <w:rPr/>
        <w:commentReference w:id="1"/>
      </w:r>
      <w:r>
        <w:rPr/>
        <w:t>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1. 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check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rPr/>
      </w:pPr>
      <w:r>
        <w:rPr/>
      </w:r>
    </w:p>
    <w:p>
      <w:pPr>
        <w:pStyle w:val="Normal"/>
        <w:outlineLvl w:val="0"/>
        <w:rPr/>
      </w:pPr>
      <w:r>
        <w:rPr/>
      </w:r>
    </w:p>
    <w:p>
      <w:pPr>
        <w:pStyle w:val="Normal"/>
        <w:rPr>
          <w:b/>
          <w:bCs/>
        </w:rPr>
      </w:pPr>
      <w:r>
        <w:rPr>
          <w:b/>
          <w:bCs/>
        </w:rPr>
        <w:t>2. 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rPr/>
      </w:pPr>
      <w:r>
        <w:rPr/>
        <w:t>“</w:t>
      </w:r>
      <w:r>
        <w:rPr>
          <w:i/>
          <w:iCs/>
        </w:rPr>
        <w:t>Anaerobic ammonium oxidation (anammox) is implicitly included in the model. The organic nitrogen released during denitrification is assumed to be directly oxidized with nitrite to N2 through a coupling between denitrification and anammox.</w:t>
      </w:r>
      <w:r>
        <w:rPr/>
        <w:t>”</w:t>
      </w:r>
    </w:p>
    <w:p>
      <w:pPr>
        <w:pStyle w:val="Normal"/>
        <w:rPr/>
      </w:pPr>
      <w:r>
        <w:rPr/>
      </w:r>
    </w:p>
    <w:p>
      <w:pPr>
        <w:pStyle w:val="Normal"/>
        <w:outlineLvl w:val="0"/>
        <w:rPr>
          <w:b/>
          <w:bCs/>
        </w:rPr>
      </w:pPr>
      <w:r>
        <w:rPr>
          <w:b/>
          <w:bCs/>
        </w:rPr>
        <w:t>3. 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First, there is a leakage term </w:t>
      </w:r>
      <w:r>
        <w:rPr>
          <w:rFonts w:ascii="SBL BibLit;SBL Greek;Athena;EB" w:hAnsi="SBL BibLit;SBL Greek;Athena;EB"/>
        </w:rPr>
        <w:t>γ</w:t>
      </w:r>
      <w:r>
        <w:rPr>
          <w:vertAlign w:val="subscript"/>
        </w:rPr>
        <w:t>CH4</w:t>
      </w:r>
      <w:r>
        <w:rPr/>
        <w:t xml:space="preserve">  comparable to incomplete sulfide and ammonium oxidation (see Table 10, SO</w:t>
      </w:r>
      <w:r>
        <w:rPr>
          <w:vertAlign w:val="subscript"/>
        </w:rPr>
        <w:t>4</w:t>
      </w:r>
      <w:r>
        <w:rPr/>
        <w:t xml:space="preserve"> boundary conditions 5 and 8.2; H2S boundary conditions 5 and 9). Second, it can be safely assume that almost all CH4 is oxidized anaerobically in the sediments (e.g. Reeburgh (2007) and Hinrichs &amp; Boetius (2002) estimated &gt; 90%) - except for active (very localized) sites and slope failure, which can, in theory, be accounted for through the gamma term. </w:t>
      </w:r>
    </w:p>
    <w:p>
      <w:pPr>
        <w:pStyle w:val="Normal"/>
        <w:rPr/>
      </w:pPr>
      <w:r>
        <w:rPr/>
      </w:r>
    </w:p>
    <w:p>
      <w:pPr>
        <w:pStyle w:val="Normal"/>
        <w:rPr/>
      </w:pPr>
      <w:r>
        <w:rPr/>
        <w:t xml:space="preserve">We included this sentence in the Section 2.2.4 “Sulfate and Sulfide” (pg. 14, lines 9-11): </w:t>
      </w:r>
    </w:p>
    <w:p>
      <w:pPr>
        <w:pStyle w:val="Normal"/>
        <w:rPr>
          <w:b/>
          <w:bCs/>
          <w:color w:val="800000"/>
        </w:rPr>
      </w:pPr>
      <w:r>
        <w:rPr>
          <w:b/>
          <w:bCs/>
          <w:color w:val="800000"/>
        </w:rPr>
        <w:t>TODO check pg + lines</w:t>
      </w:r>
    </w:p>
    <w:p>
      <w:pPr>
        <w:pStyle w:val="Normal"/>
        <w:rPr/>
      </w:pPr>
      <w:r>
        <w:rPr/>
        <w:t>“</w:t>
      </w:r>
      <w:r>
        <w:rPr>
          <w:i/>
          <w:iCs/>
        </w:rPr>
        <w:t xml:space="preserve">It can be safely assume that almost all CH4 is oxidized anaerobically in the sediments (e.g. Reeburgh (2007) suggests up to 90%)- except for active (very localized) sites and slope failure, which can, in theory, be accounted for through the </w:t>
      </w:r>
      <w:r>
        <w:rPr>
          <w:rFonts w:ascii="SBL BibLit;SBL Greek;Athena;EB" w:hAnsi="SBL BibLit;SBL Greek;Athena;EB"/>
          <w:i/>
          <w:iCs/>
        </w:rPr>
        <w:t>γ</w:t>
      </w:r>
      <w:r>
        <w:rPr>
          <w:i/>
          <w:iCs/>
          <w:vertAlign w:val="subscript"/>
        </w:rPr>
        <w:t>CH4</w:t>
      </w:r>
      <w:r>
        <w:rPr>
          <w:i/>
          <w:iCs/>
        </w:rPr>
        <w:t xml:space="preserve"> term.</w:t>
      </w:r>
      <w:r>
        <w:rPr/>
        <w:t>”</w:t>
      </w:r>
    </w:p>
    <w:p>
      <w:pPr>
        <w:pStyle w:val="Normal"/>
        <w:rPr>
          <w:color w:val="FF0000"/>
        </w:rPr>
      </w:pPr>
      <w:r>
        <w:rPr>
          <w:color w:val="FF0000"/>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We thank the reviewer for this valid point. However, we are not aware of an approach that would allow splitting the two pathways in quantitative terms in a global context. Following the approach of  Jourabchi et al. (2005), we assume a ½ methane to DIC ratio (i.e. the acetoclastic pathway). However, OMEN-SED could be easily adapted to represent  hydrogenotrophic methanogenesis globally (i.e. by adapting the stoichiometric factor by a value depending on the specific pathway).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pPr>
      <w:r>
        <w:rPr>
          <w:bCs/>
        </w:rPr>
        <w:t>In general, the coupling between multiple reaction-transport equations (i.e. strongly coupled biogeochemical dynamics) make finding an analytical solution difficult or even impossible. Calcium carbonate dissolution is kinetically controlled by the amount of CaCO</w:t>
      </w:r>
      <w:r>
        <w:rPr>
          <w:bCs/>
          <w:vertAlign w:val="subscript"/>
        </w:rPr>
        <w:t xml:space="preserve">3 </w:t>
      </w:r>
      <w:r>
        <w:rPr>
          <w:bCs/>
        </w:rPr>
        <w:t>and thermodynamically controlled by the porewater concentrations of calcium ion, Ca</w:t>
      </w:r>
      <w:r>
        <w:rPr>
          <w:bCs/>
          <w:vertAlign w:val="superscript"/>
        </w:rPr>
        <w:t>2+</w:t>
      </w:r>
      <w:r>
        <w:rPr>
          <w:bCs/>
        </w:rPr>
        <w:t>, and carbonate ions, CO</w:t>
      </w:r>
      <w:r>
        <w:rPr>
          <w:bCs/>
          <w:vertAlign w:val="subscript"/>
        </w:rPr>
        <w:t>3</w:t>
      </w:r>
      <w:r>
        <w:rPr>
          <w:bCs/>
          <w:vertAlign w:val="superscript"/>
        </w:rPr>
        <w:t>2-</w:t>
      </w:r>
      <w:r>
        <w:rPr>
          <w:bCs/>
        </w:rPr>
        <w:t>. The reaction terms of the CaCO</w:t>
      </w:r>
      <w:r>
        <w:rPr>
          <w:bCs/>
          <w:vertAlign w:val="subscript"/>
        </w:rPr>
        <w:t>3</w:t>
      </w:r>
      <w:r>
        <w:rPr>
          <w:bCs/>
        </w:rPr>
        <w:t xml:space="preserve"> , (the Ca</w:t>
      </w:r>
      <w:r>
        <w:rPr>
          <w:bCs/>
          <w:vertAlign w:val="superscript"/>
        </w:rPr>
        <w:t>2+</w:t>
      </w:r>
      <w:r>
        <w:rPr>
          <w:bCs/>
        </w:rPr>
        <w:t>), the DIC and balance equations would thus depend on the concentrations of CaCO</w:t>
      </w:r>
      <w:r>
        <w:rPr>
          <w:bCs/>
          <w:vertAlign w:val="subscript"/>
        </w:rPr>
        <w:t>3</w:t>
      </w:r>
      <w:r>
        <w:rPr>
          <w:bCs/>
        </w:rPr>
        <w:t>, Ca</w:t>
      </w:r>
      <w:r>
        <w:rPr>
          <w:bCs/>
          <w:vertAlign w:val="superscript"/>
        </w:rPr>
        <w:t>2+</w:t>
      </w:r>
      <w:r>
        <w:rPr>
          <w:bCs/>
        </w:rPr>
        <w:t xml:space="preserve"> and CO</w:t>
      </w:r>
      <w:r>
        <w:rPr>
          <w:bCs/>
          <w:vertAlign w:val="subscript"/>
        </w:rPr>
        <w:t>3</w:t>
      </w:r>
      <w:r>
        <w:rPr>
          <w:bCs/>
          <w:vertAlign w:val="superscript"/>
        </w:rPr>
        <w:t xml:space="preserve">2- </w:t>
      </w:r>
      <w:r>
        <w:rPr>
          <w:bCs/>
        </w:rPr>
        <w:t>(DIC, pH/Alk). This set of strongly coupled equations does not have a simple analytical solution. Finding a solution to the problem requires some creativity and a number of assumptions that need to be independently tested and validated. This task thus requires some additional work and model development that go beyond the scope of this first model description paper centered on organic carbon and nutrients. However as pointed out</w:t>
      </w:r>
      <w:r>
        <w:rPr/>
        <w:t xml:space="preserve"> in Section 5 “already planned future extensions of OMEN-SED include an explicit description of carbonate dissolution and iron.” </w:t>
      </w:r>
    </w:p>
    <w:p>
      <w:pPr>
        <w:pStyle w:val="Normal"/>
        <w:outlineLvl w:val="0"/>
        <w:rPr/>
      </w:pPr>
      <w:r>
        <w:rPr/>
      </w:r>
    </w:p>
    <w:p>
      <w:pPr>
        <w:pStyle w:val="Normal"/>
        <w:outlineLvl w:val="0"/>
        <w:rPr>
          <w:b/>
          <w:bCs/>
          <w:color w:val="FF0000"/>
        </w:rPr>
      </w:pPr>
      <w:r>
        <w:rPr>
          <w:b/>
          <w:bCs/>
          <w:color w:val="FF0000"/>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rPr>
      </w:pPr>
      <w:r>
        <w:rPr>
          <w:b/>
          <w:bCs/>
        </w:rPr>
        <w:t>Response:</w:t>
      </w:r>
    </w:p>
    <w:p>
      <w:pPr>
        <w:pStyle w:val="Normal"/>
        <w:outlineLvl w:val="0"/>
        <w:rPr>
          <w:position w:val="0"/>
          <w:sz w:val="24"/>
          <w:sz w:val="24"/>
          <w:vertAlign w:val="baseline"/>
        </w:rPr>
      </w:pPr>
      <w:r>
        <w:rPr>
          <w:position w:val="0"/>
          <w:sz w:val="24"/>
          <w:sz w:val="24"/>
          <w:vertAlign w:val="baseline"/>
        </w:rPr>
        <w:t>We here follow the approaches of Slomp et al. (1996) and Gypens et al. (2008) who both assume that HPO</w:t>
      </w:r>
      <w:r>
        <w:rPr>
          <w:sz w:val="24"/>
          <w:vertAlign w:val="subscript"/>
        </w:rPr>
        <w:t>4</w:t>
      </w:r>
      <w:r>
        <w:rPr>
          <w:sz w:val="24"/>
          <w:vertAlign w:val="superscript"/>
        </w:rPr>
        <w:t xml:space="preserve">2- </w:t>
      </w:r>
      <w:r>
        <w:rPr>
          <w:position w:val="0"/>
          <w:sz w:val="24"/>
          <w:sz w:val="24"/>
          <w:vertAlign w:val="baseline"/>
        </w:rPr>
        <w:t>is released due to the reduction of Fe oxides throughout the reduced sediment (i.e. starting at zox).</w:t>
      </w:r>
    </w:p>
    <w:p>
      <w:pPr>
        <w:pStyle w:val="Normal"/>
        <w:outlineLvl w:val="0"/>
        <w:rPr>
          <w:sz w:val="20"/>
          <w:szCs w:val="20"/>
        </w:rPr>
      </w:pPr>
      <w:r>
        <w:rPr>
          <w:sz w:val="20"/>
          <w:szCs w:val="20"/>
        </w:rPr>
      </w:r>
    </w:p>
    <w:p>
      <w:pPr>
        <w:pStyle w:val="Normal"/>
        <w:outlineLvl w:val="0"/>
        <w:rPr>
          <w:sz w:val="20"/>
          <w:szCs w:val="20"/>
        </w:rPr>
      </w:pPr>
      <w:r>
        <w:rPr>
          <w:sz w:val="20"/>
          <w:szCs w:val="20"/>
        </w:rPr>
      </w:r>
    </w:p>
    <w:p>
      <w:pPr>
        <w:pStyle w:val="Normal"/>
        <w:outlineLvl w:val="0"/>
        <w:rPr>
          <w:b/>
          <w:bCs/>
        </w:rPr>
      </w:pPr>
      <w:r>
        <w:rPr>
          <w:b/>
          <w:bCs/>
        </w:rPr>
        <w:t>7. 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8. 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reviewed version of OMEN-SED, this fraction mimicked the escape from the sediment. However, in response to the first critical comment of reviewer 3 (K. Wallmann)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 xml:space="preserve">The text, tables and equations (for </w:t>
      </w:r>
      <w:r>
        <w:rPr/>
        <w:t>O</w:t>
      </w:r>
      <w:r>
        <w:rPr>
          <w:vertAlign w:val="subscript"/>
        </w:rPr>
        <w:t>2</w:t>
      </w:r>
      <w:r>
        <w:rPr/>
        <w:t xml:space="preserve">, </w:t>
      </w:r>
      <w:r>
        <w:rPr/>
        <w:t>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 About FeS precipitation.</w:t>
      </w:r>
    </w:p>
    <w:p>
      <w:pPr>
        <w:pStyle w:val="Normal"/>
        <w:rPr/>
      </w:pPr>
      <w:r>
        <w:rPr/>
      </w:r>
    </w:p>
    <w:p>
      <w:pPr>
        <w:pStyle w:val="Normal"/>
        <w:rPr/>
      </w:pPr>
      <w:r>
        <w:rPr/>
        <w:t>Changes made in:</w:t>
      </w:r>
    </w:p>
    <w:p>
      <w:pPr>
        <w:pStyle w:val="Normal"/>
        <w:rPr/>
      </w:pPr>
      <w:r>
        <w:rPr>
          <w:u w:val="single"/>
        </w:rPr>
        <w:t>2.2.2 Oxygen:</w:t>
      </w:r>
      <w:r>
        <w:rPr/>
        <w:t xml:space="preserve"> Table 3 boundary condition 4.2 + Text pg. 12 lines 14-16:</w:t>
      </w:r>
    </w:p>
    <w:p>
      <w:pPr>
        <w:pStyle w:val="Normal"/>
        <w:rPr>
          <w:i/>
          <w:iCs/>
        </w:rPr>
      </w:pPr>
      <w:r>
        <w:rPr>
          <w:i/>
          <w:iCs/>
        </w:rPr>
        <w:t xml:space="preserve">“ </w:t>
      </w:r>
      <w:r>
        <w:rPr>
          <w:i/>
          <w:iCs/>
        </w:rPr>
        <w:t>It is assumed that respective fractions (γNH4 and γH2S) are directly reoxidised at the oxic/anoxic interface and the remaining fraction escapes reoxidation</w:t>
      </w:r>
      <w:r>
        <w:rPr>
          <w:b/>
          <w:bCs/>
          <w:i/>
          <w:iCs/>
        </w:rPr>
        <w:t xml:space="preserve"> (or is precipitated as pyrite, γFeS )</w:t>
      </w:r>
      <w:r>
        <w:rPr>
          <w:i/>
          <w:iCs/>
        </w:rPr>
        <w:t>.”</w:t>
      </w:r>
    </w:p>
    <w:p>
      <w:pPr>
        <w:pStyle w:val="Normal"/>
        <w:rPr/>
      </w:pPr>
      <w:r>
        <w:rPr/>
      </w:r>
    </w:p>
    <w:p>
      <w:pPr>
        <w:pStyle w:val="Normal"/>
        <w:rPr/>
      </w:pPr>
      <w:r>
        <w:rPr>
          <w:b w:val="false"/>
          <w:bCs w:val="false"/>
          <w:u w:val="single"/>
        </w:rPr>
        <w:t>2.2.4 Sulfate and Sulfide</w:t>
      </w:r>
      <w:r>
        <w:rPr/>
        <w:t>: Equations 23 + Table 5 boundary condition 5) +  (pg. 14 lines 9-10):</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bookmarkStart w:id="0" w:name="__DdeLink__774_26197436"/>
      <w:bookmarkEnd w:id="0"/>
      <w:r>
        <w:rPr>
          <w:b w:val="false"/>
          <w:bCs w:val="false"/>
          <w:i/>
          <w:iCs/>
        </w:rPr>
        <w:t>“</w:t>
      </w:r>
      <w:r>
        <w:rPr>
          <w:b w:val="false"/>
          <w:bCs w:val="false"/>
          <w:i/>
          <w:iCs/>
        </w:rPr>
        <w:t xml:space="preserve">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w:t>
      </w:r>
      <w:r>
        <w:rPr>
          <w:b w:val="false"/>
          <w:bCs w:val="false"/>
          <w:i/>
          <w:iCs/>
        </w:rPr>
        <w:t>The majority of H2S produced by sulfate reduction is reoxidised, but it is estimated</w:t>
      </w:r>
    </w:p>
    <w:p>
      <w:pPr>
        <w:pStyle w:val="Normal"/>
        <w:rPr>
          <w:b w:val="false"/>
          <w:bCs w:val="false"/>
          <w:i/>
          <w:iCs/>
        </w:rPr>
      </w:pPr>
      <w:r>
        <w:rPr>
          <w:b w:val="false"/>
          <w:bCs w:val="false"/>
          <w:i/>
          <w:iCs/>
        </w:rPr>
        <w:t xml:space="preserve">that ∼ 10 − 25% is eventually buried as pyrite (Bottrell and Newton, 2006). However, this fraction can vary significantly over geological timescales (Berner, 1984). </w:t>
      </w:r>
      <w:r>
        <w:rPr>
          <w:b w:val="false"/>
          <w:bCs w:val="false"/>
          <w:i/>
          <w:iCs/>
        </w:rPr>
        <w:t>If a user does not want to make any assumptions about pyrite precipitation – it can be set to 0 (as in the results presented here).”</w:t>
      </w:r>
    </w:p>
    <w:p>
      <w:pPr>
        <w:pStyle w:val="Normal"/>
        <w:rPr/>
      </w:pPr>
      <w:r>
        <w:rPr/>
      </w:r>
    </w:p>
    <w:p>
      <w:pPr>
        <w:pStyle w:val="Normal"/>
        <w:outlineLvl w:val="0"/>
        <w:rPr>
          <w:color w:val="00000A"/>
        </w:rPr>
      </w:pPr>
      <w:r>
        <w:rPr>
          <w:color w:val="00000A"/>
        </w:rPr>
        <w:t xml:space="preserve">We also added pyrite precipiation to </w:t>
      </w:r>
      <w:r>
        <w:rPr>
          <w:color w:val="00000A"/>
        </w:rPr>
        <w:t>T</w:t>
      </w:r>
      <w:r>
        <w:rPr>
          <w:color w:val="00000A"/>
        </w:rPr>
        <w:t>able</w:t>
      </w:r>
      <w:r>
        <w:rPr>
          <w:color w:val="00000A"/>
        </w:rPr>
        <w:t xml:space="preserve"> 1 and</w:t>
      </w:r>
      <w:r>
        <w:rPr>
          <w:color w:val="00000A"/>
        </w:rPr>
        <w:t xml:space="preserve"> A1 in the Appendix. </w:t>
      </w:r>
    </w:p>
    <w:p>
      <w:pPr>
        <w:pStyle w:val="Normal"/>
        <w:outlineLvl w:val="0"/>
        <w:rPr>
          <w:color w:val="00000A"/>
        </w:rPr>
      </w:pPr>
      <w:bookmarkStart w:id="1" w:name="__DdeLink__774_26197436"/>
      <w:bookmarkStart w:id="2" w:name="__DdeLink__774_26197436"/>
      <w:bookmarkEnd w:id="2"/>
      <w:r>
        <w:rPr>
          <w:color w:val="00000A"/>
        </w:rPr>
      </w:r>
    </w:p>
    <w:p>
      <w:pPr>
        <w:pStyle w:val="Normal"/>
        <w:outlineLvl w:val="0"/>
        <w:rPr>
          <w:b/>
          <w:bCs/>
        </w:rPr>
      </w:pPr>
      <w:r>
        <w:rPr>
          <w:b/>
          <w:bCs/>
        </w:rPr>
        <w:t>9. 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or compare Archer et al. (2002) Fig. 9D).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 However, the bioirrigation coefficient has been changed and is now represented by the empirical relationship with seafloor depth derived by Soetaert et al. (1996): fir = Min{1; 15.9 · z−0.43 }. We also added to the limitations section that our approach might not be appropriate to simulate non-accumulating permeable sands.</w:t>
      </w:r>
    </w:p>
    <w:p>
      <w:pPr>
        <w:pStyle w:val="Normal"/>
        <w:rPr/>
      </w:pPr>
      <w:r>
        <w:rPr/>
        <w:t>The text has been changed to (pg. 25 lines 21-23):</w:t>
      </w:r>
    </w:p>
    <w:p>
      <w:pPr>
        <w:pStyle w:val="Normal"/>
        <w:rPr>
          <w:b/>
          <w:bCs/>
          <w:color w:val="800000"/>
        </w:rPr>
      </w:pPr>
      <w:r>
        <w:rPr>
          <w:b/>
          <w:bCs/>
          <w:color w:val="800000"/>
        </w:rPr>
        <w:t>TODO check pg + lines</w:t>
      </w:r>
    </w:p>
    <w:p>
      <w:pPr>
        <w:pStyle w:val="Normal"/>
        <w:rPr/>
      </w:pPr>
      <w:r>
        <w:rPr/>
        <w:t>“</w:t>
      </w:r>
      <w:r>
        <w:rPr>
          <w:i/>
          <w:iCs/>
        </w:rPr>
        <w:t>Soetaert et al. (1996) derived an empirical relationship between fir and seafloor depth (fir = Min{1; 15.9 · z −0.43 }) based on observations from Archer and Devol (1992) and Devol and Christensen (1993) which is used in OMEN-SED</w:t>
      </w:r>
      <w:r>
        <w:rPr/>
        <w:t>“</w:t>
      </w:r>
    </w:p>
    <w:p>
      <w:pPr>
        <w:pStyle w:val="Normal"/>
        <w:rPr>
          <w:b/>
          <w:bCs/>
          <w:color w:val="800000"/>
        </w:rPr>
      </w:pPr>
      <w:r>
        <w:rPr/>
        <w:t xml:space="preserve">And in  the limitations section (pg. 54 lines 11-12): </w:t>
      </w:r>
      <w:r>
        <w:rPr>
          <w:b/>
          <w:bCs/>
          <w:color w:val="800000"/>
        </w:rPr>
        <w:t>TODO check pg + lines</w:t>
      </w:r>
    </w:p>
    <w:p>
      <w:pPr>
        <w:pStyle w:val="Normal"/>
        <w:rPr>
          <w:i/>
          <w:iCs/>
        </w:rPr>
      </w:pPr>
      <w:r>
        <w:rPr>
          <w:i/>
          <w:iCs/>
        </w:rPr>
        <w:t>“</w:t>
      </w:r>
      <w:r>
        <w:rPr>
          <w:i/>
          <w:iCs/>
        </w:rPr>
        <w:t>Also note that our 1-D diffusion/bioturbation model might not be appropriate to simulate non-accumulating permeable sands of the coastal ocean.”</w:t>
      </w:r>
    </w:p>
    <w:p>
      <w:pPr>
        <w:pStyle w:val="Normal"/>
        <w:rPr>
          <w:b/>
          <w:bCs/>
          <w:i w:val="false"/>
          <w:iCs w:val="false"/>
          <w:color w:val="FF0000"/>
        </w:rPr>
      </w:pPr>
      <w:r>
        <w:rPr>
          <w:b/>
          <w:bCs/>
          <w:i w:val="false"/>
          <w:iCs w:val="false"/>
          <w:color w:val="FF0000"/>
        </w:rPr>
      </w:r>
    </w:p>
    <w:p>
      <w:pPr>
        <w:pStyle w:val="Normal"/>
        <w:outlineLvl w:val="0"/>
        <w:rPr>
          <w:b/>
          <w:bCs/>
        </w:rPr>
      </w:pPr>
      <w:r>
        <w:rPr>
          <w:b/>
          <w:bCs/>
        </w:rPr>
        <w:t>11. Comment:</w:t>
      </w:r>
    </w:p>
    <w:p>
      <w:pPr>
        <w:pStyle w:val="Normal"/>
        <w:rPr>
          <w:color w:val="00000A"/>
        </w:rPr>
      </w:pPr>
      <w:r>
        <w:rPr/>
        <w:t xml:space="preserve">The 2G model is a sensible choice. Model parameterisation is a general concern (page 3, line 30), but I suggest to cite some promising new approaches to address this issues such as presented by </w:t>
      </w:r>
      <w:r>
        <w:rPr>
          <w:color w:val="00000A"/>
        </w:rPr>
        <w:t>https://www.biogeosciences-discuss.net/bg-2017-397</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(Section 4.2 “Parameterising the OM degradation rate constants in a global model”).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b/>
          <w:bCs/>
          <w:color w:val="800000"/>
        </w:rPr>
      </w:pPr>
      <w:r>
        <w:rPr>
          <w:b/>
          <w:bCs/>
          <w:color w:val="800000"/>
        </w:rPr>
        <w:t>TODO: Check pg and lines:</w:t>
      </w:r>
    </w:p>
    <w:p>
      <w:pPr>
        <w:pStyle w:val="Normal"/>
        <w:rPr/>
      </w:pPr>
      <w:r>
        <w:rPr/>
        <w:t xml:space="preserve">Added sentence (page 45 lines 17-20): </w:t>
      </w:r>
    </w:p>
    <w:p>
      <w:pPr>
        <w:pStyle w:val="Normal"/>
        <w:rPr>
          <w:b w:val="false"/>
          <w:bCs w:val="false"/>
          <w:i/>
          <w:iCs/>
        </w:rPr>
      </w:pPr>
      <w:r>
        <w:rPr>
          <w:b w:val="false"/>
          <w:bCs w:val="false"/>
          <w:i/>
          <w:iCs/>
        </w:rPr>
        <w:t>“</w:t>
      </w:r>
      <w:r>
        <w:rPr>
          <w:b w:val="false"/>
          <w:bCs w:val="false"/>
          <w:i/>
          <w:iCs/>
        </w:rPr>
        <w:t>Stolpovsky et al. (2015, 2017) suggested empirically derived approaches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that could also prevail in the future (Arndt et al., 2013).”</w:t>
      </w:r>
    </w:p>
    <w:p>
      <w:pPr>
        <w:pStyle w:val="Normal"/>
        <w:rPr>
          <w:b/>
          <w:bCs/>
        </w:rPr>
      </w:pPr>
      <w:r>
        <w:rPr>
          <w:b/>
          <w:bCs/>
        </w:rPr>
      </w:r>
    </w:p>
    <w:p>
      <w:pPr>
        <w:pStyle w:val="Normal"/>
        <w:rPr/>
      </w:pPr>
      <w:r>
        <w:rPr/>
      </w:r>
    </w:p>
    <w:p>
      <w:pPr>
        <w:pStyle w:val="Normal"/>
        <w:outlineLvl w:val="0"/>
        <w:rPr>
          <w:b/>
          <w:bCs/>
        </w:rPr>
      </w:pPr>
      <w:r>
        <w:rPr>
          <w:b/>
          <w:bCs/>
        </w:rPr>
        <w:t>12. 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13. 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14. 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15. 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16. 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 xml:space="preserve">We added the following sentence to Section “4.2 Parameterising the OM degradation rate constants in a global model” (pg 45, lines 10-11): </w:t>
      </w:r>
      <w:r>
        <w:rPr>
          <w:b/>
          <w:bCs/>
          <w:color w:val="800000"/>
        </w:rPr>
        <w:t>TODO check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pPr>
      <w:r>
        <w:rPr/>
      </w:r>
    </w:p>
    <w:p>
      <w:pPr>
        <w:pStyle w:val="Normal"/>
        <w:outlineLvl w:val="0"/>
        <w:rPr>
          <w:b/>
          <w:bCs/>
        </w:rPr>
      </w:pPr>
      <w:r>
        <w:rPr>
          <w:b/>
          <w:bCs/>
        </w:rPr>
        <w:t>18. 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19. 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 (pg 55 lines 20-23): </w:t>
      </w:r>
      <w:r>
        <w:rPr>
          <w:b/>
          <w:bCs/>
          <w:color w:val="800000"/>
        </w:rPr>
        <w:t>TODO check pg + lines</w:t>
      </w:r>
    </w:p>
    <w:p>
      <w:pPr>
        <w:pStyle w:val="Normal"/>
        <w:rPr/>
      </w:pPr>
      <w:r>
        <w:rPr/>
      </w:r>
    </w:p>
    <w:p>
      <w:pPr>
        <w:pStyle w:val="Normal"/>
        <w:rPr/>
      </w:pPr>
      <w:r>
        <w:rPr/>
        <w:t>“</w:t>
      </w:r>
      <w:r>
        <w:rPr>
          <w:i/>
          <w:iCs/>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w:t>
      </w:r>
      <w:r>
        <w:rPr/>
        <w:t>”</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in a follow-up publication (as also suggested by reviewer #3 K. Wallmann).</w:t>
      </w:r>
    </w:p>
    <w:p>
      <w:pPr>
        <w:pStyle w:val="Normal"/>
        <w:rPr/>
      </w:pPr>
      <w:r>
        <w:rPr/>
        <w:t>Specifically, the sensitivity analysis for the spatially uniform degradation rate constants (Figure 12) and it's discussion has been removed (compare pages 47-50).</w:t>
      </w:r>
    </w:p>
    <w:p>
      <w:pPr>
        <w:pStyle w:val="Normal"/>
        <w:rPr/>
      </w:pPr>
      <w:r>
        <w:rPr>
          <w:b/>
          <w:bCs/>
          <w:color w:val="800000"/>
        </w:rPr>
        <w:t>TODO check pgs!</w:t>
      </w:r>
      <w:r>
        <w:rPr/>
        <w:t xml:space="preserve"> </w:t>
      </w:r>
    </w:p>
    <w:p>
      <w:pPr>
        <w:pStyle w:val="Normal"/>
        <w:outlineLvl w:val="0"/>
        <w:rPr>
          <w:color w:val="FF0000"/>
        </w:rPr>
      </w:pPr>
      <w:r>
        <w:rPr>
          <w:color w:val="FF0000"/>
        </w:rPr>
      </w:r>
    </w:p>
    <w:p>
      <w:pPr>
        <w:pStyle w:val="Normal"/>
        <w:outlineLvl w:val="0"/>
        <w:rPr>
          <w:color w:val="FF0000"/>
        </w:rPr>
      </w:pPr>
      <w:r>
        <w:rPr>
          <w:color w:val="FF0000"/>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Figure 12 has been deleted from the manuscript. As the statistics for the actual data are not helpful/misleading (see also comment 4 of reviewer #2) we decided to remove the R2 values in Figures 13 and 14 (as well as their discussion in the text). Compare changes on pages 47-50.</w:t>
      </w:r>
    </w:p>
    <w:p>
      <w:pPr>
        <w:pStyle w:val="Normal"/>
        <w:rPr/>
      </w:pPr>
      <w:r>
        <w:rPr>
          <w:b/>
          <w:bCs/>
          <w:color w:val="800000"/>
        </w:rPr>
        <w:t>TODO check pgs!</w:t>
      </w:r>
      <w:r>
        <w:rPr/>
        <w:t xml:space="preserve"> </w:t>
      </w:r>
    </w:p>
    <w:p>
      <w:pPr>
        <w:pStyle w:val="Normal"/>
        <w:rPr>
          <w:b/>
          <w:bCs/>
          <w:color w:val="FF0000"/>
        </w:rPr>
      </w:pPr>
      <w:r>
        <w:rPr>
          <w:b/>
          <w:bCs/>
          <w:color w:val="FF0000"/>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22. 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 (pg 8 lines 1-2):</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23. Comment:</w:t>
      </w:r>
    </w:p>
    <w:p>
      <w:pPr>
        <w:pStyle w:val="Normal"/>
        <w:shd w:fill="FFFFFF" w:val="clear"/>
        <w:rPr/>
      </w:pPr>
      <w:r>
        <w:rPr/>
        <w:t xml:space="preserve">- the fraction of POC buried is defined as the </w:t>
      </w:r>
      <w:r>
        <w:rPr>
          <w:shd w:fill="FFFFFF" w:val="clear"/>
        </w:rPr>
        <w:t>POC at z=0 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We decided to calculate the fraction of POC preserved dependent on the concentrations of POC at z=0 and z=zinf mainly because this information is required by cGENIE. Also POC at z=0 is calculated on the basis of the flux provided by cGENIE, therefore does include advection-diffusion-reaction.</w:t>
      </w:r>
    </w:p>
    <w:p>
      <w:pPr>
        <w:pStyle w:val="Normal"/>
        <w:rPr/>
      </w:pPr>
      <w:r>
        <w:rPr/>
      </w:r>
    </w:p>
    <w:p>
      <w:pPr>
        <w:pStyle w:val="Normal"/>
        <w:outlineLvl w:val="0"/>
        <w:rPr>
          <w:b/>
          <w:bCs/>
        </w:rPr>
      </w:pPr>
      <w:r>
        <w:rPr>
          <w:b/>
          <w:bCs/>
        </w:rPr>
        <w:t>24. 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We thank the reviewer for highlighting this. The text has been changed and a reference to Eq. 51 has been added (pg 10 lines 17-20): </w:t>
      </w:r>
      <w:r>
        <w:rPr>
          <w:b/>
          <w:bCs/>
          <w:color w:val="800000"/>
        </w:rPr>
        <w:t>TODO check pg + lines</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r>
        <w:rPr>
          <w:b/>
          <w:bCs/>
          <w:i/>
          <w:iCs/>
        </w:rPr>
        <w:t>When OMEN-SED is coupled to an ESM,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25. 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refer to both equations later in the text (pg 22 line 9 and 17), therefore we would like to keep them in.</w:t>
      </w:r>
    </w:p>
    <w:p>
      <w:pPr>
        <w:pStyle w:val="Normal"/>
        <w:rPr/>
      </w:pPr>
      <w:r>
        <w:rPr/>
      </w:r>
    </w:p>
    <w:p>
      <w:pPr>
        <w:pStyle w:val="Normal"/>
        <w:outlineLvl w:val="0"/>
        <w:rPr>
          <w:b/>
          <w:bCs/>
        </w:rPr>
      </w:pPr>
      <w:r>
        <w:rPr>
          <w:b/>
          <w:bCs/>
        </w:rPr>
        <w:t>26. 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 (pg 31 line 7).</w:t>
      </w:r>
    </w:p>
    <w:p>
      <w:pPr>
        <w:pStyle w:val="Normal"/>
        <w:rPr/>
      </w:pPr>
      <w:r>
        <w:rPr/>
      </w:r>
    </w:p>
    <w:p>
      <w:pPr>
        <w:pStyle w:val="Normal"/>
        <w:outlineLvl w:val="0"/>
        <w:rPr>
          <w:b/>
          <w:bCs/>
        </w:rPr>
      </w:pPr>
      <w:r>
        <w:rPr>
          <w:b/>
          <w:bCs/>
        </w:rPr>
        <w:t>27. 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r>
        <w:rPr>
          <w:b/>
          <w:bCs/>
          <w:sz w:val="28"/>
          <w:szCs w:val="28"/>
        </w:rPr>
        <w:t>Anonymous Referee #2</w:t>
      </w:r>
    </w:p>
    <w:p>
      <w:pPr>
        <w:pStyle w:val="Normal"/>
        <w:rPr/>
      </w:pPr>
      <w:r>
        <w:rPr/>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00000A"/>
          <w:sz w:val="24"/>
          <w:szCs w:val="24"/>
        </w:rPr>
        <w:t xml:space="preserve">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We also 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p>
    <w:p>
      <w:pPr>
        <w:pStyle w:val="Normal"/>
        <w:rPr/>
      </w:pPr>
      <w:r>
        <w:rPr/>
      </w:r>
    </w:p>
    <w:p>
      <w:pPr>
        <w:pStyle w:val="Normal"/>
        <w:rPr>
          <w:b/>
          <w:bCs/>
          <w:color w:val="009900"/>
        </w:rPr>
      </w:pPr>
      <w:r>
        <w:rPr>
          <w:b/>
          <w:bCs/>
          <w:color w:val="009900"/>
        </w:rPr>
        <w:t>TODO pg and line:</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outlineLvl w:val="0"/>
        <w:rPr/>
      </w:pPr>
      <w:r>
        <w:rPr/>
      </w:r>
    </w:p>
    <w:p>
      <w:pPr>
        <w:pStyle w:val="Normal"/>
        <w:outlineLvl w:val="0"/>
        <w:rPr>
          <w:b/>
          <w:bCs/>
        </w:rPr>
      </w:pPr>
      <w:r>
        <w:rPr>
          <w:b/>
          <w:bCs/>
        </w:rPr>
        <w:t>2. 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OMEN-SED (see e.g. Fig. 6C). </w:t>
      </w:r>
    </w:p>
    <w:p>
      <w:pPr>
        <w:pStyle w:val="Normal"/>
        <w:rPr/>
      </w:pPr>
      <w:r>
        <w:rPr/>
      </w:r>
    </w:p>
    <w:p>
      <w:pPr>
        <w:pStyle w:val="Normal"/>
        <w:rPr/>
      </w:pPr>
      <w:r>
        <w:rPr/>
        <w:t>In the following we repeat the response given to the 1</w:t>
      </w:r>
      <w:r>
        <w:rPr>
          <w:vertAlign w:val="superscript"/>
        </w:rPr>
        <w:t>st</w:t>
      </w:r>
      <w:r>
        <w:rPr/>
        <w:t xml:space="preserve"> comment of Reviewer #1:</w:t>
      </w:r>
    </w:p>
    <w:p>
      <w:pPr>
        <w:pStyle w:val="Normal"/>
        <w:rPr/>
      </w:pPr>
      <w:r>
        <w:rPr/>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add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widowControl/>
        <w:suppressAutoHyphens w:val="false"/>
        <w:jc w:val="both"/>
        <w:rPr/>
      </w:pPr>
      <w:r>
        <w:rPr/>
      </w:r>
    </w:p>
    <w:p>
      <w:pPr>
        <w:pStyle w:val="Normal"/>
        <w:outlineLvl w:val="0"/>
        <w:rPr>
          <w:b/>
          <w:bCs/>
        </w:rPr>
      </w:pPr>
      <w:r>
        <w:rPr>
          <w:b/>
          <w:bCs/>
        </w:rPr>
        <w:t>3. 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In the following we repeat the response given to the 2nd comment of Reviewer #1:</w:t>
      </w:r>
    </w:p>
    <w:p>
      <w:pPr>
        <w:pStyle w:val="Normal"/>
        <w:rPr/>
      </w:pPr>
      <w:r>
        <w:rPr/>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widowControl/>
        <w:suppressAutoHyphens w:val="false"/>
        <w:jc w:val="both"/>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w:t>
      </w:r>
      <w:r>
        <w:rPr>
          <w:rFonts w:eastAsia="Times New Roman" w:cs="Times New Roman" w:ascii="Times New Roman" w:hAnsi="Times New Roman"/>
          <w:i/>
          <w:iCs/>
          <w:color w:val="00000A"/>
          <w:lang w:eastAsia="en-US" w:bidi="ar-SA"/>
        </w:rPr>
        <w:t>Anaerobic ammonium oxidation (anammox) is implicitly included in the model. The organic nitrogen released during denitrification is assumed to be directly oxidized with nitrite to N2 through a coupling between denitrification and anammox.</w:t>
      </w:r>
      <w:r>
        <w:rPr>
          <w:rFonts w:eastAsia="Times New Roman" w:cs="Times New Roman" w:ascii="Times New Roman" w:hAnsi="Times New Roman"/>
          <w:color w:val="00000A"/>
          <w:lang w:eastAsia="en-US" w:bidi="ar-SA"/>
        </w:rPr>
        <w:t>”</w:t>
      </w:r>
    </w:p>
    <w:p>
      <w:pPr>
        <w:pStyle w:val="Normal"/>
        <w:rPr>
          <w:color w:val="FF0000"/>
        </w:rPr>
      </w:pPr>
      <w:r>
        <w:rPr>
          <w:color w:val="FF0000"/>
        </w:rPr>
      </w:r>
    </w:p>
    <w:p>
      <w:pPr>
        <w:pStyle w:val="Normal"/>
        <w:outlineLvl w:val="0"/>
        <w:rPr>
          <w:b/>
          <w:bCs/>
        </w:rPr>
      </w:pPr>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Figure 12 (and its discussion) has been deleted from the manuscript. The R2 values in Figures 13 and 14 (as well as their discussion in the text) has been removed as well. Compare changes on pages 47-50.</w:t>
      </w:r>
    </w:p>
    <w:p>
      <w:pPr>
        <w:pStyle w:val="Normal"/>
        <w:rPr/>
      </w:pPr>
      <w:r>
        <w:rPr>
          <w:b/>
          <w:bCs/>
          <w:color w:val="800000"/>
        </w:rPr>
        <w:t>TODO check pgs!</w:t>
      </w:r>
      <w:r>
        <w:rPr/>
        <w:t xml:space="preserve"> </w:t>
      </w:r>
    </w:p>
    <w:p>
      <w:pPr>
        <w:pStyle w:val="Normal"/>
        <w:rPr/>
      </w:pPr>
      <w:r>
        <w:rPr/>
      </w:r>
    </w:p>
    <w:p>
      <w:pPr>
        <w:pStyle w:val="Normal"/>
        <w:rPr/>
      </w:pPr>
      <w:r>
        <w:rPr/>
        <w:t xml:space="preserve">The ranges of simulated SWI-fluxes from the stand-alone OMEN-SED model are already compared to the Stolpovsky et al., (2015) database in Figure 6. </w:t>
      </w:r>
    </w:p>
    <w:p>
      <w:pPr>
        <w:pStyle w:val="Normal"/>
        <w:rPr/>
      </w:pPr>
      <w:r>
        <w:rPr/>
      </w:r>
    </w:p>
    <w:p>
      <w:pPr>
        <w:pStyle w:val="Normal"/>
        <w:rPr/>
      </w:pPr>
      <w:bookmarkStart w:id="3" w:name="__DdeLink__2053_227401001"/>
      <w:r>
        <w:rPr/>
        <w:t>If</w:t>
      </w:r>
      <w:bookmarkEnd w:id="3"/>
      <w:r>
        <w:rPr/>
        <w:t xml:space="preserve"> binned by RRPOC for uniform k-values, all grid-cells with same RRPOC have the same preservation in OMEN-SED. Therefore, this would not be very useful.</w:t>
      </w:r>
    </w:p>
    <w:p>
      <w:pPr>
        <w:pStyle w:val="Normal"/>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shortened the coupling section of the manuscript (we removed the sensitivity analysis with the spatially uniform degradation rate constants, compare pages 47-50) and we will discuss an improved model-data analysis of the coupled model, using existing parameterizations and maps of SWI-fluxes, in a follow-up publication. Also compare response to comment 20 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6. 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7. 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8. Comment:</w:t>
      </w:r>
    </w:p>
    <w:p>
      <w:pPr>
        <w:pStyle w:val="Normal"/>
        <w:rPr/>
      </w:pPr>
      <w:r>
        <w:rPr/>
        <w:t>Eq. 5: This representation sounds a bit odd. I think z∞ should be replaced with zmax,</w:t>
      </w:r>
    </w:p>
    <w:p>
      <w:pPr>
        <w:pStyle w:val="Normal"/>
        <w:rPr/>
      </w:pPr>
      <w:r>
        <w:rPr/>
        <w:t>as POC content at infinite depth believed to be zero.</w:t>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9. 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10. 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In the following we repeat the answer given to Comment 10 of Reviewer #1:</w:t>
      </w:r>
    </w:p>
    <w:p>
      <w:pPr>
        <w:pStyle w:val="Normal"/>
        <w:outlineLvl w:val="0"/>
        <w:rPr>
          <w:b w:val="false"/>
          <w:bCs w:val="false"/>
          <w:color w:val="00000A"/>
        </w:rPr>
      </w:pPr>
      <w:r>
        <w:rPr>
          <w:b w:val="false"/>
          <w:bCs w:val="false"/>
          <w:color w:val="00000A"/>
        </w:rPr>
      </w:r>
    </w:p>
    <w:p>
      <w:pPr>
        <w:pStyle w:val="Normal"/>
        <w:outlineLvl w:val="0"/>
        <w:rPr>
          <w:color w:val="00000A"/>
        </w:rPr>
      </w:pPr>
      <w:r>
        <w:rPr>
          <w:color w:val="00000A"/>
        </w:rPr>
        <w:t>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outlineLvl w:val="0"/>
        <w:rPr>
          <w:b w:val="false"/>
          <w:bCs w:val="false"/>
          <w:i/>
          <w:iCs/>
          <w:color w:val="00000A"/>
        </w:rPr>
      </w:pPr>
      <w:r>
        <w:rPr>
          <w:b w:val="false"/>
          <w:bCs w:val="false"/>
          <w:i/>
          <w:iCs/>
          <w:color w:val="00000A"/>
        </w:rPr>
        <w:t>“</w:t>
      </w:r>
      <w:r>
        <w:rPr>
          <w:b w:val="false"/>
          <w:bCs w:val="false"/>
          <w:i/>
          <w:iCs/>
          <w:color w:val="00000A"/>
        </w:rPr>
        <w:t>Soetaert et al. (1996) derived an empirical relationship between fir and seafloor depth (fir = Min{1; 15.9 · z −0.43 }) based on observations from Archer and Devol (1992) and Devol and Christensen (1993) which is used in OMEN-SED.“</w:t>
      </w:r>
    </w:p>
    <w:p>
      <w:pPr>
        <w:pStyle w:val="Normal"/>
        <w:outlineLvl w:val="0"/>
        <w:rPr>
          <w:color w:val="FF0000"/>
        </w:rPr>
      </w:pPr>
      <w:r>
        <w:rPr>
          <w:color w:val="FF0000"/>
        </w:rPr>
      </w:r>
    </w:p>
    <w:p>
      <w:pPr>
        <w:pStyle w:val="Normal"/>
        <w:outlineLvl w:val="0"/>
        <w:rPr>
          <w:b/>
          <w:bCs/>
        </w:rPr>
      </w:pPr>
      <w:r>
        <w:rPr>
          <w:b/>
          <w:bCs/>
        </w:rPr>
        <w:t>11. 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12. 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This has been changed as indicated.</w:t>
      </w:r>
    </w:p>
    <w:p>
      <w:pPr>
        <w:pStyle w:val="Normal"/>
        <w:rPr>
          <w:b/>
          <w:bCs/>
          <w:color w:val="FF0000"/>
        </w:rPr>
      </w:pPr>
      <w:r>
        <w:rPr>
          <w:b/>
          <w:bCs/>
          <w:color w:val="FF0000"/>
        </w:rPr>
      </w:r>
    </w:p>
    <w:p>
      <w:pPr>
        <w:pStyle w:val="Normal"/>
        <w:outlineLvl w:val="0"/>
        <w:rPr>
          <w:b/>
          <w:bCs/>
        </w:rPr>
      </w:pPr>
      <w:r>
        <w:rPr>
          <w:b/>
          <w:bCs/>
        </w:rPr>
        <w:t>13. Comment:</w:t>
      </w:r>
    </w:p>
    <w:p>
      <w:pPr>
        <w:pStyle w:val="Normal"/>
        <w:outlineLvl w:val="0"/>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database mentioned 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pPr>
      <w:r>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The ranges of simulated SWI-fluxes from the stand-alone OMEN-SED model are already compared to the Stolpovsky et al., (2015) database in Figure 6. </w:t>
      </w:r>
    </w:p>
    <w:p>
      <w:pPr>
        <w:pStyle w:val="Normal"/>
        <w:outlineLvl w:val="0"/>
        <w:rPr/>
      </w:pPr>
      <w:r>
        <w:rPr/>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14. 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DH: Meant is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This is not an assumption, but the conclusion from the model-data and model-model comparison at the system scale. To clarify this, the sentence as been changed to (pg. 56 lines 5-6): </w:t>
      </w:r>
    </w:p>
    <w:p>
      <w:pPr>
        <w:pStyle w:val="Normal"/>
        <w:outlineLvl w:val="0"/>
        <w:rPr/>
      </w:pPr>
      <w:r>
        <w:rPr>
          <w:b/>
          <w:bCs/>
          <w:color w:val="800000"/>
        </w:rPr>
        <w:t>TODO check pg + lines</w:t>
      </w:r>
      <w:r>
        <w:rPr/>
        <w:t xml:space="preserve"> </w:t>
      </w:r>
    </w:p>
    <w:p>
      <w:pPr>
        <w:pStyle w:val="Normal"/>
        <w:outlineLvl w:val="0"/>
        <w:rPr>
          <w:i/>
          <w:iCs/>
        </w:rPr>
      </w:pPr>
      <w:r>
        <w:rPr>
          <w:i/>
          <w:iCs/>
        </w:rPr>
        <w:t>“</w:t>
      </w:r>
      <w:r>
        <w:rPr>
          <w:i/>
          <w:iCs/>
        </w:rPr>
        <w:t xml:space="preserve">We have shown that the performance of OMEN-SED </w:t>
      </w:r>
      <w:r>
        <w:rPr>
          <w:b/>
          <w:bCs/>
          <w:i/>
          <w:iCs/>
        </w:rPr>
        <w:t>at the system scale</w:t>
      </w:r>
      <w:r>
        <w:rPr>
          <w:i/>
          <w:iCs/>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thank Prof. Wallmann for this very valid suggestion.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(see</w:t>
      </w:r>
      <w:r>
        <w:rPr>
          <w:color w:val="00000A"/>
        </w:rPr>
        <w:t xml:space="preserve"> pg. 54 lines 10-11, “... already planned future extensions of OMEN-SED include an explicit description of carbonate dissolution iron.”)</w:t>
      </w:r>
      <w:r>
        <w:rPr/>
        <w:t>.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 xml:space="preserve">The text, tables and equations (for </w:t>
      </w:r>
      <w:r>
        <w:rPr/>
        <w:t>O</w:t>
      </w:r>
      <w:r>
        <w:rPr>
          <w:vertAlign w:val="subscript"/>
        </w:rPr>
        <w:t>2</w:t>
      </w:r>
      <w:r>
        <w:rPr/>
        <w:t xml:space="preserve">, </w:t>
      </w:r>
      <w:r>
        <w:rPr/>
        <w:t>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w:t>
      </w:r>
    </w:p>
    <w:p>
      <w:pPr>
        <w:pStyle w:val="Normal"/>
        <w:rPr/>
      </w:pPr>
      <w:r>
        <w:rPr/>
      </w:r>
    </w:p>
    <w:p>
      <w:pPr>
        <w:pStyle w:val="Normal"/>
        <w:rPr/>
      </w:pPr>
      <w:r>
        <w:rPr/>
        <w:t>Changes made in:</w:t>
      </w:r>
    </w:p>
    <w:p>
      <w:pPr>
        <w:pStyle w:val="Normal"/>
        <w:rPr/>
      </w:pPr>
      <w:r>
        <w:rPr>
          <w:u w:val="single"/>
        </w:rPr>
        <w:t>2.2.2 Oxygen:</w:t>
      </w:r>
      <w:r>
        <w:rPr/>
        <w:t xml:space="preserve"> Table 3 boundary condition 4.2 + Text pg. 12 lines 14-16:</w:t>
      </w:r>
    </w:p>
    <w:p>
      <w:pPr>
        <w:pStyle w:val="Normal"/>
        <w:rPr>
          <w:i/>
          <w:iCs/>
        </w:rPr>
      </w:pPr>
      <w:r>
        <w:rPr>
          <w:i/>
          <w:iCs/>
        </w:rPr>
        <w:t xml:space="preserve">“ </w:t>
      </w:r>
      <w:r>
        <w:rPr>
          <w:i/>
          <w:iCs/>
        </w:rPr>
        <w:t>It is assumed that respective fractions (γNH4 and γH2S) are directly reoxidised at the oxic/anoxic interface and the remaining fraction escapes reoxidation</w:t>
      </w:r>
      <w:r>
        <w:rPr>
          <w:b/>
          <w:bCs/>
          <w:i/>
          <w:iCs/>
        </w:rPr>
        <w:t xml:space="preserve"> (or is precipitated as pyrite, γFeS )</w:t>
      </w:r>
      <w:r>
        <w:rPr>
          <w:i/>
          <w:iCs/>
        </w:rPr>
        <w:t>.”</w:t>
      </w:r>
    </w:p>
    <w:p>
      <w:pPr>
        <w:pStyle w:val="Normal"/>
        <w:rPr/>
      </w:pPr>
      <w:r>
        <w:rPr/>
      </w:r>
    </w:p>
    <w:p>
      <w:pPr>
        <w:pStyle w:val="Normal"/>
        <w:rPr/>
      </w:pPr>
      <w:r>
        <w:rPr>
          <w:b w:val="false"/>
          <w:bCs w:val="false"/>
          <w:u w:val="single"/>
        </w:rPr>
        <w:t>2.2.4 Sulfate and Sulfide</w:t>
      </w:r>
      <w:r>
        <w:rPr/>
        <w:t xml:space="preserve"> (pg. 14 lines 9-10): + Equations 23 + Table 5 boundary condition 5)</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 xml:space="preserve">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w:t>
      </w:r>
      <w:r>
        <w:rPr>
          <w:b w:val="false"/>
          <w:bCs w:val="false"/>
          <w:i/>
          <w:iCs/>
        </w:rPr>
        <w:t>The majority of H2S produced by sulfate reduction is reoxidised, but it is estimated</w:t>
      </w:r>
    </w:p>
    <w:p>
      <w:pPr>
        <w:pStyle w:val="Normal"/>
        <w:rPr>
          <w:b w:val="false"/>
          <w:bCs w:val="false"/>
          <w:i/>
          <w:iCs/>
        </w:rPr>
      </w:pPr>
      <w:r>
        <w:rPr>
          <w:b w:val="false"/>
          <w:bCs w:val="false"/>
          <w:i/>
          <w:iCs/>
        </w:rPr>
        <w:t xml:space="preserve">that ∼ 10 − 25% is eventually buried as pyrite (Bottrell and Newton, 2006). However, this fraction can vary significantly over geological timescales (Berner, 1984). </w:t>
      </w:r>
      <w:r>
        <w:rPr>
          <w:b w:val="false"/>
          <w:bCs w:val="false"/>
          <w:i/>
          <w:iCs/>
        </w:rPr>
        <w:t>If a user does not want to make any assumptions about pyrite precipitation – it can be set to 0 (as in the results presented here).”</w:t>
      </w:r>
    </w:p>
    <w:p>
      <w:pPr>
        <w:pStyle w:val="Normal"/>
        <w:rPr/>
      </w:pPr>
      <w:r>
        <w:rPr/>
      </w:r>
    </w:p>
    <w:p>
      <w:pPr>
        <w:pStyle w:val="Normal"/>
        <w:outlineLvl w:val="0"/>
        <w:rPr>
          <w:color w:val="00000A"/>
        </w:rPr>
      </w:pPr>
      <w:r>
        <w:rPr>
          <w:color w:val="00000A"/>
        </w:rPr>
        <w:t xml:space="preserve">We also added pyrite precipiation to </w:t>
      </w:r>
      <w:r>
        <w:rPr>
          <w:color w:val="00000A"/>
        </w:rPr>
        <w:t>T</w:t>
      </w:r>
      <w:r>
        <w:rPr>
          <w:color w:val="00000A"/>
        </w:rPr>
        <w:t>able</w:t>
      </w:r>
      <w:r>
        <w:rPr>
          <w:color w:val="00000A"/>
        </w:rPr>
        <w:t xml:space="preserve"> 1 and</w:t>
      </w:r>
      <w:r>
        <w:rPr>
          <w:color w:val="00000A"/>
        </w:rPr>
        <w:t xml:space="preserve"> A1 in the Appendix. </w:t>
      </w:r>
    </w:p>
    <w:p>
      <w:pPr>
        <w:pStyle w:val="Normal"/>
        <w:outlineLvl w:val="0"/>
        <w:rPr>
          <w:color w:val="00000A"/>
        </w:rPr>
      </w:pPr>
      <w:r>
        <w:rPr>
          <w:color w:val="00000A"/>
        </w:rPr>
      </w:r>
    </w:p>
    <w:p>
      <w:pPr>
        <w:pStyle w:val="Normal"/>
        <w:outlineLvl w:val="0"/>
        <w:rPr>
          <w:color w:val="FF0000"/>
        </w:rPr>
      </w:pPr>
      <w:r>
        <w:rPr>
          <w:color w:val="FF0000"/>
        </w:rPr>
      </w:r>
    </w:p>
    <w:p>
      <w:pPr>
        <w:pStyle w:val="Normal"/>
        <w:rPr>
          <w:b/>
          <w:bCs/>
        </w:rPr>
      </w:pPr>
      <w:r>
        <w:rPr>
          <w:b/>
          <w:bCs/>
        </w:rPr>
        <w:t>2.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The sentence as been changed accordingly (compare pg. 27 lines 23-29). </w:t>
      </w:r>
      <w:r>
        <w:rPr>
          <w:b/>
          <w:bCs/>
          <w:color w:val="800000"/>
        </w:rPr>
        <w:t>TODO check pg. and lines</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rPr>
      </w:pPr>
      <w:r>
        <w:rPr>
          <w:b/>
          <w:bCs/>
        </w:rPr>
        <w:t>Response:</w:t>
      </w:r>
    </w:p>
    <w:p>
      <w:pPr>
        <w:pStyle w:val="Normal"/>
        <w:rPr/>
      </w:pPr>
      <w:r>
        <w:rPr/>
        <w:t xml:space="preserve">The low reactivities obtained for the global application (e.g. Fig. 12 – old manuscript)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 xml:space="preserve">The sites used for the stand-alone case study in section 3.3 where not really deep sea sites (complete data sets from deep sea sites within gyres are difficult to obtain). </w:t>
      </w:r>
    </w:p>
    <w:p>
      <w:pPr>
        <w:pStyle w:val="Normal"/>
        <w:rPr/>
      </w:pPr>
      <w:r>
        <w:rPr/>
      </w:r>
    </w:p>
    <w:p>
      <w:pPr>
        <w:pStyle w:val="Normal"/>
        <w:rPr/>
      </w:pPr>
      <w:r>
        <w:rPr/>
        <w:t>However, we decided to shorten the cGENIE coupling section (compare also response to your comment 3.3). The sensitivity analysis for the spatially uniform degradation rate constants (Figure 12) and it's discussion has been removed (compare pages 47-50).</w:t>
      </w:r>
    </w:p>
    <w:p>
      <w:pPr>
        <w:pStyle w:val="Normal"/>
        <w:rPr/>
      </w:pPr>
      <w:r>
        <w:rPr/>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color w:val="222222"/>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bookmarkStart w:id="4" w:name="__DdeLink__1621_935420449"/>
      <w:bookmarkEnd w:id="4"/>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w:t>
      </w:r>
    </w:p>
    <w:p>
      <w:pPr>
        <w:pStyle w:val="Normal"/>
        <w:rPr/>
      </w:pPr>
      <w:r>
        <w:rPr/>
        <w:t>Specifically, the sensitivity analysis for the spatially uniform degradation rate constants (Figure 12) and it's discussion has been removed (compare pages 47-50).</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4:24:00Z" w:initials="PR">
    <w:p>
      <w:r>
        <w:rPr/>
        <w:t>I agree. I would keep part of the section on coupling too</w:t>
      </w:r>
    </w:p>
  </w:comment>
  <w:comment w:id="1" w:author="Pierre Regnier" w:date="2018-04-13T13:38:00Z" w:initials="PR">
    <w:p>
      <w:r>
        <w:rPr/>
        <w:t>maybe we can mention the issue in the text (i.e. what the model can’t capture)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80"/>
      <w:u w:val="single"/>
      <w:lang w:val="zxx" w:eastAsia="zxx" w:bidi="zxx"/>
    </w:rPr>
  </w:style>
  <w:style w:type="character" w:styleId="VisitedInternetLink">
    <w:name w:val="Visited Internet Link"/>
    <w:rPr>
      <w:color w:val="800000"/>
      <w:u w:val="single"/>
      <w:lang w:val="uz-Cyrl-UZ" w:eastAsia="uz-Cyrl-UZ" w:bidi="uz-Cyrl-UZ"/>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48086273563530094971">
    <w:name w:val="4808627356353009497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2018-04-16T11:45:01Z</dcterms:created>
  <dc:language>en-US</dc:language>
  <cp:revision>0</cp:revision>
</cp:coreProperties>
</file>