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6B7280"/>
          <w:sz w:val="18"/>
        </w:rPr>
        <w:t>NIS2 Compliance Toolkit</w:t>
      </w:r>
    </w:p>
    <w:p>
      <w:pPr>
        <w:spacing w:after="0"/>
      </w:pPr>
      <w:r>
        <w:rPr>
          <w:rFonts w:ascii="Calibri" w:hAnsi="Calibri"/>
          <w:b/>
          <w:i w:val="0"/>
          <w:color w:val="1C1C2E"/>
          <w:sz w:val="44"/>
        </w:rPr>
        <w:t>Module 2 — Risico's kennen is risico's beheersen</w:t>
      </w:r>
    </w:p>
    <w:p>
      <w:pPr>
        <w:spacing w:after="40"/>
      </w:pPr>
      <w:r>
        <w:rPr>
          <w:rFonts w:ascii="Calibri" w:hAnsi="Calibri"/>
          <w:b w:val="0"/>
          <w:i/>
          <w:color w:val="14532D"/>
          <w:sz w:val="24"/>
        </w:rPr>
        <w:t>Risicoanalyse &amp; -beoordeling  ·  Identificeer, score en prioriteer uw cyberbeveiligingsrisico's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500"/>
        <w:gridCol w:w="2000"/>
        <w:gridCol w:w="2000"/>
        <w:gridCol w:w="2004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Bedrijf</w:t>
              <w:br/>
            </w: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{{BEDRIJFSNAAM}}</w:t>
            </w:r>
          </w:p>
        </w:tc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Versie</w:t>
              <w:br/>
            </w:r>
            <w:r>
              <w:rPr>
                <w:rFonts w:ascii="Calibri" w:hAnsi="Calibri"/>
                <w:b/>
                <w:color w:val="1C1C2E"/>
                <w:sz w:val="20"/>
              </w:rPr>
              <w:t>1.0</w:t>
            </w:r>
          </w:p>
        </w:tc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Datum</w:t>
              <w:br/>
            </w: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Status</w:t>
              <w:br/>
            </w:r>
            <w:r>
              <w:rPr>
                <w:rFonts w:ascii="Calibri" w:hAnsi="Calibri"/>
                <w:b/>
                <w:color w:val="1C1C2E"/>
                <w:sz w:val="20"/>
              </w:rPr>
              <w:t>Concept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W w:w="8504" w:type="dxa"/>
            <w:shd w:val="clear" w:color="auto" w:fill="FEF2F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FCA5A5"/>
              <w:bottom w:val="single" w:sz="4" w:space="0" w:color="FCA5A5"/>
              <w:right w:val="single" w:sz="4" w:space="0" w:color="FCA5A5"/>
              <w:left w:val="single" w:sz="12" w:space="0" w:color="DC2626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91B1B"/>
                <w:sz w:val="20"/>
              </w:rPr>
              <w:t xml:space="preserve">Risico:  </w:t>
            </w:r>
            <w:r>
              <w:rPr>
                <w:rFonts w:ascii="Calibri" w:hAnsi="Calibri"/>
                <w:b w:val="0"/>
                <w:i w:val="0"/>
                <w:color w:val="7F1D1D"/>
                <w:sz w:val="20"/>
              </w:rPr>
              <w:t>Organisaties zonder gedocumenteerde risicoanalyse lopen bij een NIS2-audit kans op directe boetes. De toezichthouder verwacht een aantoonbaar en herhaald risicobeoordelingsproces. Dit module levert dat bewijs in ca. 3 uur werktijd.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1 · Doel &amp; Reikwijdte</w:t>
      </w:r>
      <w:r>
        <w:rPr>
          <w:rFonts w:ascii="Calibri" w:hAnsi="Calibri"/>
          <w:color w:val="1D4ED8"/>
          <w:sz w:val="16"/>
        </w:rPr>
        <w:t xml:space="preserve">    NIS2 Art. 21(2)(a)  ·  ISO 27001 Cl. 6.1.2</w:t>
      </w:r>
    </w:p>
    <w:p>
      <w:pPr>
        <w:spacing w:after="120"/>
      </w:pPr>
      <w:r>
        <w:rPr>
          <w:rFonts w:ascii="Calibri" w:hAnsi="Calibri"/>
          <w:b w:val="0"/>
          <w:i w:val="0"/>
          <w:color w:val="374151"/>
          <w:sz w:val="22"/>
        </w:rPr>
        <w:t>Dit module helpt directeuren en IT-verantwoordelijken van Nederlandse MKB-organisaties alle relevante cyberbeveiligingsrisico's te identificeren, te beoordelen op waarschijnlijkheid en impact, en te prioriteren voor behandeling. Het resultaat is een gedocumenteerd risicoregister dat dient als compliance-bewijs en als basis voor alle overige NIS2-modules.</w:t>
      </w:r>
    </w:p>
    <w:p>
      <w:pPr>
        <w:spacing w:after="40"/>
      </w:pPr>
      <w:r>
        <w:rPr>
          <w:rFonts w:ascii="Calibri" w:hAnsi="Calibri"/>
          <w:b/>
          <w:i w:val="0"/>
          <w:color w:val="1C1C2E"/>
          <w:sz w:val="22"/>
        </w:rPr>
        <w:t xml:space="preserve">Reikwijdte: </w:t>
      </w:r>
      <w:r>
        <w:rPr>
          <w:rFonts w:ascii="Calibri" w:hAnsi="Calibri"/>
          <w:b/>
          <w:color w:val="713F12"/>
          <w:sz w:val="22"/>
          <w:highlight w:val="yellow"/>
        </w:rPr>
        <w:t>{{BEDRIJFSNAAM}}</w:t>
      </w:r>
      <w:r>
        <w:rPr>
          <w:rFonts w:ascii="Calibri" w:hAnsi="Calibri"/>
          <w:b w:val="0"/>
          <w:i w:val="0"/>
          <w:color w:val="374151"/>
          <w:sz w:val="22"/>
        </w:rPr>
        <w:t xml:space="preserve"> — alle systemen, processen en gegevens die vallen onder de NIS2-scope zoals vastgesteld in Module 1.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8"/>
        </w:rPr>
        <w:t>⏱  Tijdsinvestering: ca. 3 uur (eerste keer)  ·  Frequentie: jaarlijks + bij elke significante wijziging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2 · RACI-Tabel — Rollen &amp; Verantwoordelijkheden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800"/>
        <w:gridCol w:w="1400"/>
        <w:gridCol w:w="1600"/>
        <w:gridCol w:w="1400"/>
        <w:gridCol w:w="1304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Activiteit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Directeur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CISO/IT-beheerder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Afdelingshoofden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Extern adviseur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Risico-identificatie per afdeling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532D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Risicobeoordeling (score + matrix)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Behandelingsbesluiten vastleggen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532D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Risicoregister bijhouden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Jaarlijkse herziening risicoanalyse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532D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6B7280"/>
          <w:sz w:val="16"/>
        </w:rPr>
        <w:t>R = Verantwoordelijk  ·  A = Eindverantwoordelijk  ·  C = Geconsulteerd  ·  I = Geïnformeerd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 · Risicobeoordelingsmethodiek</w:t>
      </w:r>
      <w:r>
        <w:rPr>
          <w:rFonts w:ascii="Calibri" w:hAnsi="Calibri"/>
          <w:color w:val="1D4ED8"/>
          <w:sz w:val="16"/>
        </w:rPr>
        <w:t xml:space="preserve">    NIS2 Art. 21(2)(a)</w:t>
      </w:r>
    </w:p>
    <w:p>
      <w:pPr>
        <w:spacing w:after="120"/>
        <w:keepNext w:val="1"/>
      </w:pPr>
      <w:r>
        <w:rPr>
          <w:rFonts w:ascii="Calibri" w:hAnsi="Calibri"/>
          <w:b/>
          <w:i w:val="0"/>
          <w:color w:val="1C1C2E"/>
          <w:sz w:val="22"/>
        </w:rPr>
        <w:t>3a · Risico-identificatiecategorieën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1800"/>
        <w:gridCol w:w="5000"/>
        <w:gridCol w:w="1704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Voorbeelden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NIS2-relevantie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Technische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Ongeautoriseerde toegang, malware, ransomware, DDoS, kwetsbare software, misconfiguraties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Organisatorische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Ontbrekend beleid, ongetraind personeel, geen incidentprocedure, gebrekkige toegangscontrole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Leveranciersrisico's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Derde partijen met systeemtoegang, cloud providers, IT-beheerders, ketenpartners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Fysieke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Diefstal hardware, brand, overstroming, ongeautoriseerde fysieke toegang tot serverruimte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Middel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Juridische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AVG-schendingen, contractbreuk, licentiefouten, meldplicht niet nagekomen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Middel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Continuiteitsrisico's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Uitval kritieke systemen, ontbrekende back-ups, geen gedocumenteerd herstelplan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</w:tbl>
    <w:p>
      <w:pPr>
        <w:spacing w:before="280" w:after="120"/>
        <w:keepNext w:val="1"/>
      </w:pPr>
      <w:r>
        <w:rPr>
          <w:rFonts w:ascii="Calibri" w:hAnsi="Calibri"/>
          <w:b/>
          <w:i w:val="0"/>
          <w:color w:val="1C1C2E"/>
          <w:sz w:val="22"/>
        </w:rPr>
        <w:t>3b · Risicoscorematrix (Waarschijnlijkheid × Impact)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1600"/>
        <w:gridCol w:w="1381"/>
        <w:gridCol w:w="1381"/>
        <w:gridCol w:w="1381"/>
        <w:gridCol w:w="1381"/>
        <w:gridCol w:w="1380"/>
      </w:tblGrid>
      <w:tblGrid>
        <w:gridCol w:w="1417"/>
        <w:gridCol w:w="1417"/>
        <w:gridCol w:w="1417"/>
        <w:gridCol w:w="1417"/>
        <w:gridCol w:w="1417"/>
        <w:gridCol w:w="1417"/>
      </w:tblGrid>
      <w:tr>
        <w:trPr>
          <w:cantSplit w:val="1"/>
          <w:tblHeader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Impact \ Waarsch.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1 Zelden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 Onwaarsch.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 Mogelijk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 Waarsch.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 Bijna zeker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5 Catastrofaal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5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10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15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20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25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4 Ernstig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4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8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16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20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3 Matig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3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9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15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2 Klein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4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8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10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1 Verwaarloosbaar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1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3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4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5</w:t>
            </w:r>
          </w:p>
        </w:tc>
      </w:tr>
    </w:tbl>
    <w:p>
      <w:pPr>
        <w:spacing w:before="120" w:after="200"/>
      </w:pPr>
      <w:r>
        <w:rPr>
          <w:rFonts w:ascii="Calibri" w:hAnsi="Calibri"/>
          <w:b w:val="0"/>
          <w:i w:val="0"/>
          <w:color w:val="6B7280"/>
          <w:sz w:val="18"/>
        </w:rPr>
        <w:t>🔴 Kritiek (15–25): directe actie   🟠 Hoog (8–14): actie binnen 30 dagen   🟢 Middel (4–7): actie binnen 90 dagen   ⚪ Laag (1–3): accepteren &amp; monitoren</w:t>
      </w:r>
    </w:p>
    <w:p>
      <w:pPr>
        <w:spacing w:before="120" w:after="60"/>
      </w:pPr>
      <w:r>
        <w:rPr>
          <w:b/>
          <w:rFonts w:ascii="Calibri"/>
          <w:sz w:val="20"/>
          <w:color w:val="1c1c2e"/>
        </w:rPr>
        <w:t xml:space="preserve">Inherent vs. residueel risico: </w:t>
      </w:r>
      <w:r>
        <w:rPr>
          <w:rFonts w:ascii="Calibri"/>
          <w:sz w:val="20"/>
          <w:color w:val="374151"/>
        </w:rPr>
        <w:t xml:space="preserve">De score hierboven is het inherente risico — de ernst zónder bestaande maatregelen. Na het identificeren van huidige beheersmaatregelen bepaalt u het residuele risico: de ernst mét maatregelen. Het doel van NIS2-compliance is het residuele risico op Middel of lager te brengen voor alle systemen in scope. Gebruik het bijgevoegde Risicoregister.xlsx voor de volledige berekening.</w:t>
      </w:r>
    </w:p>
    <w:p>
      <w:pPr>
        <w:spacing w:before="160" w:after="120"/>
        <w:keepNext w:val="1"/>
      </w:pPr>
      <w:r>
        <w:rPr>
          <w:rFonts w:ascii="Calibri" w:hAnsi="Calibri"/>
          <w:b/>
          <w:i w:val="0"/>
          <w:color w:val="1C1C2E"/>
          <w:sz w:val="22"/>
        </w:rPr>
        <w:t>3c · Risicobereidheid (Risk Appetite)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000"/>
        <w:gridCol w:w="6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Kritiek (score 15–25)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Altijd behandelen — geen acceptatie toegestaan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Hoog (score 8–14)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Behandelplan opstellen, actie binnen 30 dagen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Middel (score 4–7)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Behandelen of formeel accepteren met onderbouwing binnen 90 dagen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Laag (score 1–3)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Accepteren en jaarlijks herbeoordelen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4 · Beslisboom — Risicoprioritering</w:t>
      </w:r>
      <w:r>
        <w:rPr>
          <w:rFonts w:ascii="Calibri" w:hAnsi="Calibri"/>
          <w:color w:val="1D4ED8"/>
          <w:sz w:val="16"/>
        </w:rPr>
        <w:t xml:space="preserve">    NIS2 Art. 21(2)(a)  ·  ISO 27001 Cl. 6.1.2</w:t>
      </w:r>
    </w:p>
    <w:p>
      <w:pPr>
        <w:spacing w:before="80" w:after="160"/>
      </w:pPr>
      <w:r>
        <w:rPr>
          <w:rFonts w:ascii="Calibri" w:hAnsi="Calibri"/>
          <w:b w:val="0"/>
          <w:i/>
          <w:color w:val="6B7280"/>
          <w:sz w:val="18"/>
        </w:rPr>
        <w:t>Gebruik de risicoscorematrix (§3b) om elk geïdentificeerd risico te scoren. Volg daarna V1→V4 om de juiste behandelingsstrategie te bepalen.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EF2F2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DC2626"/>
                <w:sz w:val="44"/>
              </w:rPr>
              <w:t>■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S≥15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DC2626"/>
                <w:sz w:val="14"/>
              </w:rPr>
              <w:t>Kritiek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Heeft het risico een score van 15 of hoger op de risicoscorematrix?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Directe actie vereist → wijs een eigenaar aan, start behandeling binnen 5 werkdagen, rapporteer aan directie.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Score is lager dan 15 → ga naar volgende vraag.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FFBEB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D97706"/>
                <w:sz w:val="44"/>
              </w:rPr>
              <w:t>◈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S 8–14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D97706"/>
                <w:sz w:val="14"/>
              </w:rPr>
              <w:t>Hoog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Heeft het risico een score van 8 tot en met 14?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Hoog risico → behandelplan opstellen, actie binnen 30 dagen, voortgang in maandrapportage.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Score is lager dan 8 → ga naar volgende vraag.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0FDF4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15803D"/>
                <w:sz w:val="44"/>
              </w:rPr>
              <w:t>≡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S 4–7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15803D"/>
                <w:sz w:val="14"/>
              </w:rPr>
              <w:t>Middel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Heeft het risico een score van 4 tot en met 7?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Middel risico → opnemen in kwartaalplan, behandelen of formeel accepteren met onderbouwing binnen 90 dagen.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Score is 1–3 → ga naar Laag.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6B7280"/>
                <w:sz w:val="44"/>
              </w:rPr>
              <w:t>§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S 1–3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7280"/>
                <w:sz w:val="14"/>
              </w:rPr>
              <w:t>Laag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Het risico heeft een score van 1 tot en met 3.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Laag risico → formeel accepteren, opnemen in risicoregister, jaarlijks herbeoordelen.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Niet van toepassing — elk geïdentificeerd risico heeft een score.</w:t>
            </w:r>
          </w:p>
        </w:tc>
      </w:tr>
    </w:tbl>
    <w:p>
      <w:pPr>
        <w:spacing w:before="0" w:after="8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5 · Bewaking &amp; Herziening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500"/>
        <w:gridCol w:w="2700"/>
        <w:gridCol w:w="2304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Activiteit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Frequentie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Eigenaar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Volledige risicoanalyse herzien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 — Q4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Risicoregister bijwerken na incident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Binnen 5 werkdagen na incident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Nieuwe risico's beoordelen bij systeemwijziging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Bij elke significante wijziging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Behandelvoortgang rapporteren aan directie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Maandelijks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Risicobereidheid herijken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 of bij strategiewijziging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{{DIRECTEUR}}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6 · Regelgevingsverwijzing &amp; Cross-Framework Mapping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1800"/>
        <w:gridCol w:w="4304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1D4ED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Kader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1D4ED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Referentie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1D4ED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Beschrijving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Richtlijn (EU 2022/2555)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21(2)(a)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Risicoanalyse en informatiebeveiligingsbeleid — verplichting tot gedocumenteerd proces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Cyberbeveiligingswet (NL)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Wetsvoorstel 36764, Art. 5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Nederlandse implementatie NIS2 — verwacht Q2 2026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27001:2022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Clausule 6.1.2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Informatiebeveiligingsrisicobeoordelingsproces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27005:2022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Volledig document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Richtlijn voor informatiebeveiligingsrisicobeheer — aanvullend op ISO 27001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AVG / GDPR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32(2)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Risicogebaseerde aanpak voor gegevensbescherming — 91% overlap met NIS2 risicoanalyse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7 · Ingevuld Voorbeeld — Energiebedrijf Van Dam B.V.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W w:w="8504" w:type="dxa"/>
            <w:shd w:val="clear" w:color="auto"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D97706"/>
              <w:bottom w:val="single" w:sz="6" w:space="0" w:color="D97706"/>
              <w:right w:val="single" w:sz="6" w:space="0" w:color="D97706"/>
              <w:left w:val="single" w:sz="6" w:space="0" w:color="D9770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Bedrijf: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Energiebedrijf Van Dam B.V. — 85 medewerkers, €12,4M omzet, regionale energiedistributie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Scope (M1):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Essen tiële dienstverlener — energiesector, NIS2 verplicht (vastgesteld Module 1)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1: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Ransomware op SCADA-systemen → W=4, I=5 → Score 20 (KRITIEK) → directe actie vereist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2: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IT-beheerder derde partij zonder MFA → W=4, I=4 → Score 16 (KRITIEK) → directe actie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3: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Ontbrekend back-up testproces → W=3, I=4 → Score 12 (HOOG) → actie binnen 30 dagen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4: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Verouderde firewall firmware → W=3, I=3 → Score 9 (HOOG) → actie binnen 30 dagen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5: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Geen incidentresponseprocedure → W=2, I=4 → Score 8 (HOOG) → behandelen via Module 5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Conclusie: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2 kritieke en 3 hoge risico's geïdentificeerd. Behandelplan opgesteld en voorgelegd aan directie.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504" w:type="dxa"/>
            <w:shd w:val="clear" w:color="auto" w:fill="1C1C2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OFFICIËLE RISICOANALYSE CONCLUSIE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9CA3AF"/>
                <w:sz w:val="16"/>
              </w:rPr>
              <w:t>Module 2 — Risicoanalyse &amp; -beoordeling  ·  NIS2 Compliance Toolkit  ·  MKBTechGids</w:t>
            </w:r>
          </w:p>
        </w:tc>
      </w:tr>
    </w:tbl>
    <w:p>
      <w:pPr>
        <w:spacing w:after="20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8 · Risicoregister Samenvatting &amp; Conclusie</w:t>
      </w:r>
    </w:p>
    <w:p>
      <w:pPr>
        <w:spacing w:before="160" w:after="120"/>
        <w:keepNext w:val="1"/>
      </w:pPr>
      <w:r>
        <w:rPr>
          <w:rFonts w:ascii="Calibri" w:hAnsi="Calibri"/>
          <w:b/>
          <w:i w:val="0"/>
          <w:color w:val="1C1C2E"/>
          <w:sz w:val="20"/>
        </w:rPr>
        <w:t>Top-5 geïdentificeerde risico's:</w:t>
      </w:r>
    </w:p>
    <w:p>
      <w:pPr>
        <w:spacing w:before="0" w:after="80"/>
      </w:pPr>
      <w:r>
        <w:rPr>
          <w:rFonts w:ascii="Calibri"/>
          <w:sz w:val="18"/>
          <w:i/>
          <w:color w:val="6B7280"/>
        </w:rPr>
        <w:t xml:space="preserve">Tip: gebruik het bijgevoegde NIS2-Risicoregister.xlsx voor de volledige inventarisatie. Kopieer de top-5 högst scorende risico’s hieronder als samenvatting voor dit formulier.</w:t>
      </w:r>
    </w:p>
    <w:tbl>
      <w:tblPr>
        <w:tblW w:type="auto" w:w="8504"/>
        <w:tblLook w:firstColumn="1" w:firstRow="1" w:lastColumn="0" w:lastRow="0" w:noHBand="0" w:noVBand="1" w:val="04A0"/>
        <w:tblW w:w="7504" w:type="dxa"/>
        <w:jc w:val="left"/>
        <w:tblW w:w="8504" w:type="dxa"/>
      </w:tblPr>
      <w:tblGrid>
        <w:gridCol w:w="400"/>
        <w:gridCol w:w="2400"/>
        <w:gridCol w:w="1000"/>
        <w:gridCol w:w="2700"/>
        <w:gridCol w:w="1000"/>
        <w:gridCol w:w="1004"/>
      </w:tblGrid>
      <w:tblGrid>
        <w:gridCol w:w="500"/>
        <w:gridCol w:w="3700"/>
        <w:gridCol w:w="1200"/>
        <w:gridCol w:w="1000"/>
        <w:gridCol w:w="800"/>
        <w:gridCol w:w="1304"/>
      </w:tblGrid>
      <w:tblGrid>
        <w:gridCol w:w="1417"/>
        <w:gridCol w:w="1417"/>
        <w:gridCol w:w="1417"/>
        <w:gridCol w:w="1417"/>
        <w:gridCol w:w="1417"/>
        <w:gridCol w:w="1417"/>
      </w:tblGrid>
      <w:tr>
        <w:trPr>
          <w:cantSplit w:val="1"/>
          <w:tblHeader/>
        </w:trPr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W w:w="4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Nr.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W w:w="24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Risicogebied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Inherent</w:t>
              <w:br/>
              <w:t>Prioriteit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W w:w="27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Huidige beheersmaatregelen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Residueel</w:t>
              <w:br/>
              <w:t>Prioriteit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W w:w="1004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Eigenaar</w:t>
            </w:r>
          </w:p>
        </w:tc>
      </w:tr>
      <w:tr>
        <w:trPr>
          <w:cantSplit w:val="1"/>
        </w:trPr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4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1C1C2E"/>
                <w:sz w:val="20"/>
              </w:rPr>
              <w:t>1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24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{{RISICOGEBIED}}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{{INH.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27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{{BEHEERSMAATREGELEN}}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{{RES.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4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{{EIGENAAR}}</w:t>
            </w:r>
          </w:p>
        </w:tc>
      </w:tr>
      <w:tr>
        <w:trPr>
          <w:cantSplit w:val="1"/>
        </w:trPr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4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1C1C2E"/>
                <w:sz w:val="20"/>
              </w:rPr>
              <w:t>2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24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{{RISICOGEBIED}}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{{INH.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27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{{BEHEERSMAATREGELEN}}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{{RES.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1004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{{EIGENAAR}}</w:t>
            </w:r>
          </w:p>
        </w:tc>
      </w:tr>
      <w:tr>
        <w:trPr>
          <w:cantSplit w:val="1"/>
        </w:trPr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4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1C1C2E"/>
                <w:sz w:val="20"/>
              </w:rPr>
              <w:t>3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24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{{RISICOGEBIED}}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{{INH.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27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{{BEHEERSMAATREGELEN}}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{{RES.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4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{{EIGENAAR}}</w:t>
            </w:r>
          </w:p>
        </w:tc>
      </w:tr>
      <w:tr>
        <w:trPr>
          <w:cantSplit w:val="1"/>
        </w:trPr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4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1C1C2E"/>
                <w:sz w:val="20"/>
              </w:rPr>
              <w:t>4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24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{{RISICOGEBIED}}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{{INH.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27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{{BEHEERSMAATREGELEN}}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{{RES.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W w:w="1004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{{EIGENAAR}}</w:t>
            </w:r>
          </w:p>
        </w:tc>
      </w:tr>
      <w:tr>
        <w:trPr>
          <w:cantSplit w:val="1"/>
        </w:trPr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4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1C1C2E"/>
                <w:sz w:val="20"/>
              </w:rPr>
              <w:t>5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24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{{RISICOGEBIED}}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{{INH.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27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{{BEHEERSMAATREGELEN}}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{{RES. PRIORITEIT}}</w:t>
            </w:r>
          </w:p>
        </w:tc>
        <w:tc>
          <w:tcP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W w:w="1004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b/>
                <w:color w:val="713F12"/>
                <w:sz w:val="20"/>
                <w:highlight w:val="yellow"/>
              </w:rPr>
              <w:t>{{EIGENAAR}}</w:t>
            </w:r>
          </w:p>
        </w:tc>
      </w:tr>
    </w:tbl>
    <w:p>
      <w:pPr>
        <w:spacing w:before="280" w:after="120"/>
        <w:keepNext w:val="1"/>
      </w:pPr>
      <w:r>
        <w:rPr>
          <w:rFonts w:ascii="Calibri" w:hAnsi="Calibri"/>
          <w:b/>
          <w:i w:val="0"/>
          <w:color w:val="1C1C2E"/>
          <w:sz w:val="20"/>
        </w:rPr>
        <w:t>Conclusie risicoanalyse — kruis aan wat van toepassing is: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0"/>
        <w:gridCol w:w="37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☐  Alle kritieke risico's (score ≥15) zijn geïdentificeerd en hebben een eigenaar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16A34A"/>
                <w:sz w:val="18"/>
              </w:rPr>
              <w:t>Directe behandeling gestart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☐  Alle hoge risico's (score 8–14) hebben een behandelplan met deadline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16A34A"/>
                <w:sz w:val="18"/>
              </w:rPr>
              <w:t>Actie binnen 30 dagen gepland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FFBE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D97706"/>
                <w:sz w:val="20"/>
              </w:rPr>
              <w:t>☐  Middelgrote risico's zijn geaccepteerd of opgenomen in kwartaalplan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FFBE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D97706"/>
                <w:sz w:val="18"/>
              </w:rPr>
              <w:t>Actie binnen 90 dagen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EF2F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☐  Risicoregister is nog niet volledig — aanvullende analyse vereist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EF2F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DC2626"/>
                <w:sz w:val="18"/>
              </w:rPr>
              <w:t>Analyse vervolgen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6B7280"/>
                <w:sz w:val="20"/>
              </w:rPr>
              <w:t>☐  Lage risico's zijn gedocumenteerd en worden jaarlijks herzien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6B7280"/>
                <w:sz w:val="18"/>
              </w:rPr>
              <w:t>Jaarlijkse monitoring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D1D5DB"/>
          <w:sz w:val="20"/>
        </w:rPr>
        <w:t>Toelichting: _______________________________________________________________________________________________</w:t>
      </w:r>
    </w:p>
    <w:p>
      <w:pPr>
        <w:spacing w:after="160"/>
      </w:pPr>
      <w:r>
        <w:rPr>
          <w:rFonts w:ascii="Calibri" w:hAnsi="Calibri"/>
          <w:b w:val="0"/>
          <w:i w:val="0"/>
          <w:color w:val="D1D5DB"/>
          <w:sz w:val="20"/>
        </w:rPr>
        <w:t>Toelichting: _______________________________________________________________________________________________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504" w:type="dxa"/>
            <w:shd w:val="clear" w:color="auto" w:fill="1C1C2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VERKLARING &amp; ONDERTEKENING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9CA3AF"/>
                <w:sz w:val="16"/>
              </w:rPr>
              <w:t>Risicoanalyse conclusie  ·  Pagina 2 van 2  ·  MKBTechGids</w:t>
            </w:r>
          </w:p>
        </w:tc>
      </w:tr>
    </w:tbl>
    <w:p>
      <w:pPr>
        <w:spacing w:after="28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9 · Goedkeuring &amp; Ondertekening — Rechtsgeldig compliance-bewijs</w:t>
      </w:r>
      <w:r>
        <w:rPr>
          <w:rFonts w:ascii="Calibri" w:hAnsi="Calibri"/>
          <w:color w:val="1D4ED8"/>
          <w:sz w:val="16"/>
        </w:rPr>
        <w:t xml:space="preserve">    NIS2 Art. 21(2)(a)  ·  ISO 27001 Cl. 6.1.2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W w:w="8504" w:type="dxa"/>
            <w:shd w:val="clear" w:color="auto" w:fill="F8F9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0E7FF"/>
              <w:bottom w:val="single" w:sz="4" w:space="0" w:color="E0E7FF"/>
              <w:right w:val="single" w:sz="4" w:space="0" w:color="E0E7FF"/>
              <w:left w:val="single" w:sz="18" w:space="0" w:color="1D4ED8"/>
            </w:tcBorders>
          </w:tcPr>
          <w:p>
            <w:pPr>
              <w:spacing w:after="120"/>
            </w:pPr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 xml:space="preserve">Verklaring: </w:t>
            </w: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Ondergetekenden verklaren hierbij dat de risicoanalyse en de top-5 risico's op pagina 1 naar beste weten juist en volledig zijn, en dat de genoemde behandelingsmaatregelen zijn geaccordeerd. Dit document wordt bewaard als compliance-bewijs conform NIS2 Richtlijn (EU) 2022/2555 Art. 21(2)(a) en de Cyberbeveiligingswet (Wetsvoorstel 36764).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 xml:space="preserve">Referentie: </w:t>
            </w:r>
            <w:r>
              <w:rPr>
                <w:rFonts w:ascii="Calibri" w:hAnsi="Calibri"/>
                <w:b/>
                <w:color w:val="1D4ED8"/>
                <w:sz w:val="16"/>
              </w:rPr>
              <w:t xml:space="preserve">  NIS2 Art. 21(2)(a)  </w:t>
            </w:r>
            <w:r>
              <w:rPr>
                <w:rFonts w:ascii="Calibri" w:hAnsi="Calibri"/>
                <w:b/>
                <w:color w:val="1D4ED8"/>
                <w:sz w:val="16"/>
              </w:rPr>
              <w:t xml:space="preserve">  ISO 27001:2022 Cl. 6.1.2  </w:t>
            </w:r>
          </w:p>
        </w:tc>
      </w:tr>
    </w:tbl>
    <w:p>
      <w:pPr>
        <w:spacing w:after="32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052"/>
        <w:gridCol w:w="4452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52" w:type="dxa"/>
            <w:shd w:val="clear" w:color="auto" w:fill="F9FAFB"/>
            <w:tcMar>
              <w:top w:w="160" w:type="dxa"/>
              <w:bottom w:w="160" w:type="dxa"/>
              <w:left w:w="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Directeur / DGA</w:t>
            </w:r>
          </w:p>
          <w:p>
            <w:pPr>
              <w:spacing w:after="80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DIRECTEUR}}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____________________________________________</w:t>
            </w:r>
          </w:p>
          <w:p>
            <w:pPr>
              <w:spacing w:after="40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Handtekening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Datum (dd-mm-jjjj)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452" w:type="dxa"/>
            <w:shd w:val="clear" w:color="auto" w:fill="F9FAFB"/>
            <w:tcMar>
              <w:top w:w="160" w:type="dxa"/>
              <w:bottom w:w="160" w:type="dxa"/>
              <w:left w:w="160" w:type="dxa"/>
              <w:right w:w="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CISO / IT-verantwoordelijke</w:t>
            </w:r>
          </w:p>
          <w:p>
            <w:pPr>
              <w:spacing w:after="80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____________________________________________</w:t>
            </w:r>
          </w:p>
          <w:p>
            <w:pPr>
              <w:spacing w:after="40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Handtekening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Datum (dd-mm-jjjj)</w:t>
            </w:r>
          </w:p>
        </w:tc>
      </w:tr>
    </w:tbl>
    <w:p>
      <w:pPr>
        <w:spacing w:after="400"/>
      </w:pPr>
    </w:p>
    <w:p>
      <w:pPr>
        <w:spacing w:before="0" w:after="240"/>
        <w:pBdr>
          <w:bottom w:val="single" w:sz="8" w:space="1" w:color="1c1c2e"/>
        </w:pBdr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000"/>
        <w:gridCol w:w="3000"/>
        <w:gridCol w:w="2504"/>
      </w:tblGrid>
      <w:tblGrid>
        <w:gridCol w:w="2835"/>
        <w:gridCol w:w="2835"/>
        <w:gridCol w:w="2835"/>
      </w:tblGrid>
      <w:tr>
        <w:trPr>
          <w:cantSplit w:val="1"/>
        </w:trPr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000" w:type="dxa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Volgende verplichte herziening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 HERZIENING}}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000" w:type="dxa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Archief / dossier referentie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{{REFERENTIE}}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2504" w:type="dxa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Documentbeheer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{{SYSTEEM/LOCATIE}}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i w:val="0"/>
          <w:color w:val="1C1C2E"/>
          <w:sz w:val="18"/>
        </w:rPr>
        <w:t xml:space="preserve">⚠  </w:t>
      </w:r>
      <w:r>
        <w:rPr>
          <w:rFonts w:ascii="Calibri" w:hAnsi="Calibri"/>
          <w:b w:val="0"/>
          <w:i/>
          <w:color w:val="6B7280"/>
          <w:sz w:val="16"/>
        </w:rPr>
        <w:t>Bewaar het origineel ondertekend exemplaar in uw NIS2-compliance-dossier. Dit document dient jaarlijks herzien te worden of bij elke significante wijziging in systemen, processen of dreigingslandschap.</w:t>
      </w:r>
    </w:p>
    <w:p>
      <w:r>
        <w:br w:type="page"/>
      </w:r>
    </w:p>
    <w:p>
      <w:pPr>
        <w:spacing w:before="0" w:after="0"/>
        <w:pBdr>
          <w:top w:val="single" w:sz="20" w:space="1" w:color="1c1c2e"/>
        </w:pBdr>
      </w:pPr>
    </w:p>
    <w:p>
      <w:pPr>
        <w:spacing w:before="800" w:after="0"/>
        <w:jc w:val="center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BTechGids_trim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0"/>
        <w:jc w:val="center"/>
      </w:pPr>
    </w:p>
    <w:p>
      <w:pPr>
        <w:spacing w:before="0" w:after="360"/>
        <w:pBdr>
          <w:bottom w:val="single" w:sz="4" w:space="1" w:color="e5e7eb"/>
        </w:pBdr>
      </w:pPr>
    </w:p>
    <w:p>
      <w:pPr>
        <w:spacing w:before="0" w:after="100"/>
        <w:jc w:val="center"/>
      </w:pPr>
      <w:r>
        <w:rPr>
          <w:rFonts w:ascii="Calibri" w:hAnsi="Calibri"/>
          <w:b w:val="0"/>
          <w:i/>
          <w:color w:val="6B7280"/>
          <w:sz w:val="18"/>
        </w:rPr>
        <w:t>Ontwikkeld en uitgegeven door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C1C2E"/>
          <w:sz w:val="36"/>
        </w:rPr>
        <w:t>MKBTechGids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14532D"/>
          <w:sz w:val="20"/>
        </w:rPr>
        <w:t>Technologie met vertrouwen</w:t>
      </w:r>
      <w:r>
        <w:rPr>
          <w:rFonts w:ascii="Calibri" w:hAnsi="Calibri"/>
          <w:b w:val="0"/>
          <w:i w:val="0"/>
          <w:color w:val="D1D5DB"/>
          <w:sz w:val="20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8"/>
        </w:rPr>
        <w:t xml:space="preserve">onderdeel van </w:t>
      </w:r>
      <w:r>
        <w:rPr>
          <w:rFonts w:ascii="Calibri" w:hAnsi="Calibri"/>
          <w:b/>
          <w:i w:val="0"/>
          <w:color w:val="1C1C2E"/>
          <w:sz w:val="18"/>
        </w:rPr>
        <w:t>TechLeadNL</w:t>
      </w:r>
    </w:p>
    <w:p>
      <w:pPr>
        <w:spacing w:before="400" w:after="0"/>
        <w:jc w:val="center"/>
      </w:pPr>
    </w:p>
    <w:tbl>
      <w:tblPr>
        <w:tblW w:type="auto" w:w="0"/>
        <w:tblLook w:firstColumn="1" w:firstRow="1" w:lastColumn="0" w:lastRow="0" w:noHBand="0" w:noVBand="1" w:val="04A0"/>
        <w:tblW w:w="8000" w:type="dxa"/>
        <w:jc w:val="left"/>
      </w:tblPr>
      <w:tblGrid>
        <w:gridCol w:w="4000"/>
        <w:gridCol w:w="4000"/>
      </w:tblGrid>
      <w:tblGrid>
        <w:gridCol w:w="4252"/>
        <w:gridCol w:w="4252"/>
      </w:tblGrid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00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00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techleadnl.nl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00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info@mkbtechgids.nl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00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Brielle, Zuid-Holland · Nederland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00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NIS2 Compliance Toolkit · Module 2 — Risicoanalyse · Versie 1.0 · 2026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00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/>
        </w:tc>
      </w:tr>
    </w:tbl>
    <w:p>
      <w:pPr>
        <w:spacing w:before="440" w:after="0"/>
        <w:jc w:val="center"/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14532D"/>
          <w:sz w:val="18"/>
        </w:rPr>
        <w:t>✓  Gratis regelgevingsupdates gedurende 12 maanden na aankoop</w:t>
      </w:r>
    </w:p>
    <w:p>
      <w:pPr>
        <w:spacing w:before="0" w:after="560"/>
        <w:jc w:val="center"/>
      </w:pPr>
      <w:r>
        <w:rPr>
          <w:rFonts w:ascii="Calibri" w:hAnsi="Calibri"/>
          <w:b w:val="0"/>
          <w:i w:val="0"/>
          <w:color w:val="D1D5DB"/>
          <w:sz w:val="16"/>
        </w:rPr>
        <w:t>Licentie voor één entiteit  ·  Niet voor doorverkoop of herverspreiding</w:t>
      </w:r>
    </w:p>
    <w:p>
      <w:pPr>
        <w:spacing w:before="0" w:after="160"/>
        <w:pBdr>
          <w:top w:val="single" w:sz="16" w:space="1" w:color="1c1c2e"/>
        </w:pBdr>
      </w:pPr>
    </w:p>
    <w:p>
      <w:pPr>
        <w:spacing w:before="160"/>
        <w:jc w:val="center"/>
      </w:pPr>
      <w:r>
        <w:rPr>
          <w:rFonts w:ascii="Calibri" w:hAnsi="Calibri"/>
          <w:b w:val="0"/>
          <w:i w:val="0"/>
          <w:color w:val="6B7280"/>
          <w:sz w:val="16"/>
        </w:rPr>
        <w:t xml:space="preserve">KVK </w:t>
      </w:r>
      <w:r>
        <w:rPr>
          <w:rFonts w:ascii="Calibri" w:hAnsi="Calibri"/>
          <w:b/>
          <w:i w:val="0"/>
          <w:color w:val="1C1C2E"/>
          <w:sz w:val="16"/>
        </w:rPr>
        <w:t>27348456</w:t>
      </w:r>
      <w:r>
        <w:rPr>
          <w:rFonts w:ascii="Calibri" w:hAnsi="Calibri"/>
          <w:b w:val="0"/>
          <w:i w:val="0"/>
          <w:color w:val="D1D5DB"/>
          <w:sz w:val="16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6"/>
        </w:rPr>
        <w:t xml:space="preserve">BTW </w:t>
      </w:r>
      <w:r>
        <w:rPr>
          <w:rFonts w:ascii="Calibri" w:hAnsi="Calibri"/>
          <w:b/>
          <w:i w:val="0"/>
          <w:color w:val="1C1C2E"/>
          <w:sz w:val="16"/>
        </w:rPr>
        <w:t>NL004968309B61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3000"/>
      <w:gridCol w:w="3000"/>
      <w:gridCol w:w="25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color w:val="6B7280"/>
              <w:sz w:val="14"/>
            </w:rPr>
            <w:t>{{BEDRIJFSNAAM}}  ·  Vertrouwelijk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1D4ED8"/>
              <w:sz w:val="14"/>
            </w:rPr>
            <w:t>NIS2 Art. 21(2)(a)  ·  ISO 27001 Cl. 6.1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504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color w:val="6B7280"/>
              <w:sz w:val="14"/>
            </w:rPr>
            <w:t xml:space="preserve">v1.0  ·  </w:t>
          </w:r>
          <w:r>
            <w:rPr>
              <w:rFonts w:ascii="Calibri" w:hAnsi="Calibri"/>
              <w:color w:val="6B7280"/>
              <w:sz w:val="14"/>
            </w:rPr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2200"/>
      <w:gridCol w:w="4100"/>
      <w:gridCol w:w="22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b/>
              <w:color w:val="1C1C2E"/>
              <w:sz w:val="16"/>
            </w:rPr>
            <w:t>NIS2  ·  M02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41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374151"/>
              <w:sz w:val="16"/>
            </w:rPr>
            <w:t>Module 2 — Risicoanalyse &amp; -beoordeling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4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i/>
              <w:color w:val="6B7280"/>
              <w:sz w:val="14"/>
            </w:rPr>
            <w:t>[ LOGO BEDRIJF ]</w:t>
          </w:r>
        </w:p>
      </w:tc>
    </w:tr>
  </w:tbl>
  <w:p>
    <w:pPr>
      <w:spacing w:before="0" w:after="0"/>
      <w:pBdr>
        <w:bottom w:val="single" w:sz="6" w:space="1" w:color="1c1c2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