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252"/>
        <w:gridCol w:w="4252"/>
      </w:tblGrid>
      <w:tr>
        <w:trPr>
          <w:cantSplit/>
        </w:trPr>
        <w:tc>
          <w:tcPr>
            <w:tcW w:type="dxa" w:w="6000"/>
            <w:shd w:val="clear" w:color="auto" w:fill="1C1C2E"/>
            <w:tcMar>
              <w:top w:w="160" w:type="dxa"/>
              <w:bottom w:w="160" w:type="dxa"/>
              <w:start w:w="200" w:type="dxa"/>
              <w:end w:w="120" w:type="dxa"/>
            </w:tcMar>
          </w:tcPr>
          <w:p>
            <w:pPr>
              <w:spacing w:after="40"/>
            </w:pPr>
            <w:r>
              <w:rPr>
                <w:rFonts w:ascii="Calibri" w:hAnsi="Calibri"/>
                <w:b/>
                <w:i w:val="0"/>
                <w:color w:val="9CA3AF"/>
                <w:sz w:val="18"/>
              </w:rPr>
              <w:t>VERKLARING · V1  ·  DIRECTIEVERKLARING</w:t>
            </w:r>
          </w:p>
          <w:p>
            <w:r>
              <w:rPr>
                <w:rFonts w:ascii="Calibri" w:hAnsi="Calibri"/>
                <w:b/>
                <w:i w:val="0"/>
                <w:color w:val="FFFFFF"/>
                <w:sz w:val="36"/>
              </w:rPr>
              <w:t>Bewustzijnsverklaring NIS2</w:t>
            </w:r>
          </w:p>
          <w:p>
            <w:r>
              <w:rPr>
                <w:rFonts w:ascii="Calibri" w:hAnsi="Calibri"/>
                <w:b w:val="0"/>
                <w:i w:val="0"/>
                <w:color w:val="9CA3AF"/>
                <w:sz w:val="18"/>
              </w:rPr>
              <w:t>Bestuurlijke verantwoordelijkheid &amp; accountability  ·  NIS2 Art. 20  ·  ISO 27001 Cl. 5.1</w:t>
            </w:r>
          </w:p>
        </w:tc>
        <w:tc>
          <w:tcPr>
            <w:tcW w:type="dxa" w:w="2504"/>
            <w:shd w:val="clear" w:color="auto" w:fill="1C1C2E"/>
            <w:tcMar>
              <w:top w:w="160" w:type="dxa"/>
              <w:bottom w:w="160" w:type="dxa"/>
              <w:start w:w="120" w:type="dxa"/>
              <w:end w:w="200" w:type="dxa"/>
            </w:tcMar>
          </w:tcPr>
          <w:p>
            <w:pPr>
              <w:jc w:val="right"/>
            </w:pPr>
            <w:r>
              <w:rPr>
                <w:rFonts w:ascii="Calibri" w:hAnsi="Calibri"/>
                <w:b/>
                <w:i w:val="0"/>
                <w:color w:val="9CA3AF"/>
                <w:sz w:val="20"/>
              </w:rPr>
              <w:t>MKBTechGids</w:t>
            </w:r>
          </w:p>
          <w:p>
            <w:pPr>
              <w:jc w:val="right"/>
            </w:pPr>
            <w:r>
              <w:rPr>
                <w:rFonts w:ascii="Calibri" w:hAnsi="Calibri"/>
                <w:b w:val="0"/>
                <w:i w:val="0"/>
                <w:color w:val="6B7280"/>
                <w:sz w:val="16"/>
              </w:rPr>
              <w:t>NIS2 Compliance Toolkit</w:t>
            </w:r>
          </w:p>
          <w:p>
            <w:pPr>
              <w:jc w:val="right"/>
            </w:pPr>
            <w:r>
              <w:rPr>
                <w:rFonts w:ascii="Calibri" w:hAnsi="Calibri"/>
                <w:b w:val="0"/>
                <w:i w:val="0"/>
                <w:color w:val="6B7280"/>
                <w:sz w:val="16"/>
              </w:rPr>
              <w:t>v1.0  ·  2026</w:t>
            </w:r>
          </w:p>
        </w:tc>
      </w:tr>
    </w:tbl>
    <w:p>
      <w:pPr>
        <w:spacing w:before="120" w:after="0"/>
      </w:pPr>
    </w:p>
    <w:p>
      <w:pPr>
        <w:spacing w:before="0" w:after="80"/>
      </w:pPr>
      <w:r>
        <w:rPr>
          <w:rFonts w:ascii="Calibri" w:hAnsi="Calibri"/>
          <w:b w:val="0"/>
          <w:i w:val="0"/>
          <w:color w:val="374151"/>
          <w:sz w:val="22"/>
        </w:rPr>
        <w:t>Onder de NIS2-richtlijn (EU 2022/2555, in Nederland de Cyberbeveiligingswet) zijn de leden van het bestuursorgaan verplicht de cyberbeveiligingsmaatregelen goed te keuren, toe te zien op de uitvoering ervan en zich daarover te laten bijscholen. Bestuurders kunnen persoonlijk aansprakelijk worden gesteld bij nalatigheid. Deze verklaring legt vast dat het bestuur zich hiervan bewust is en zijn verantwoordelijkheid neemt.</w:t>
      </w:r>
    </w:p>
    <w:p>
      <w:pPr>
        <w:spacing w:before="280" w:after="120"/>
        <w:pBdr>
          <w:bottom w:val="single" w:sz="6" w:space="2" w:color="E5E7EB"/>
        </w:pBdr>
      </w:pPr>
      <w:r>
        <w:rPr>
          <w:rFonts w:ascii="Calibri" w:hAnsi="Calibri"/>
          <w:b/>
          <w:i w:val="0"/>
          <w:color w:val="1C1C2E"/>
          <w:sz w:val="26"/>
        </w:rPr>
        <w:t xml:space="preserve">§1  </w:t>
      </w:r>
      <w:r>
        <w:rPr>
          <w:rFonts w:ascii="Calibri" w:hAnsi="Calibri"/>
          <w:b/>
          <w:i w:val="0"/>
          <w:color w:val="1C1C2E"/>
          <w:sz w:val="26"/>
        </w:rPr>
        <w:t>Doel &amp; juridische grondslag</w:t>
      </w:r>
      <w:r>
        <w:rPr>
          <w:rFonts w:ascii="Calibri" w:hAnsi="Calibri"/>
          <w:b w:val="0"/>
          <w:i w:val="0"/>
          <w:color w:val="1D4ED8"/>
          <w:sz w:val="18"/>
        </w:rPr>
        <w:t xml:space="preserve">    Art. 20(1) &amp; 20(2)</w:t>
      </w:r>
    </w:p>
    <w:tbl>
      <w:tblPr>
        <w:tblW w:type="auto" w:w="0"/>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252"/>
        <w:gridCol w:w="4252"/>
      </w:tblGrid>
      <w:tr>
        <w:trPr>
          <w:cantSplit/>
        </w:trPr>
        <w:tc>
          <w:tcPr>
            <w:tcW w:type="dxa" w:w="2400"/>
            <w:shd w:val="clear" w:color="auto" w:fill="374151"/>
            <w:tcMar>
              <w:top w:w="80" w:type="dxa"/>
              <w:bottom w:w="80" w:type="dxa"/>
              <w:start w:w="120" w:type="dxa"/>
              <w:end w:w="120" w:type="dxa"/>
            </w:tcMar>
          </w:tcPr>
          <w:p>
            <w:pPr>
              <w:spacing w:after="0"/>
            </w:pPr>
            <w:r>
              <w:rPr>
                <w:rFonts w:ascii="Calibri" w:hAnsi="Calibri"/>
                <w:b/>
                <w:i w:val="0"/>
                <w:color w:val="FFFFFF"/>
                <w:sz w:val="18"/>
              </w:rPr>
              <w:t>Doel</w:t>
            </w:r>
          </w:p>
        </w:tc>
        <w:tc>
          <w:tcPr>
            <w:tcW w:type="dxa" w:w="6104"/>
            <w:tcMar>
              <w:top w:w="80" w:type="dxa"/>
              <w:bottom w:w="80" w:type="dxa"/>
              <w:start w:w="120" w:type="dxa"/>
              <w:end w:w="120" w:type="dxa"/>
            </w:tcMar>
          </w:tcPr>
          <w:p>
            <w:pPr>
              <w:spacing w:after="0"/>
            </w:pPr>
            <w:r>
              <w:rPr>
                <w:rFonts w:ascii="Calibri" w:hAnsi="Calibri"/>
                <w:b w:val="0"/>
                <w:i w:val="0"/>
                <w:color w:val="374151"/>
                <w:sz w:val="20"/>
              </w:rPr>
              <w:t>Vastleggen dat het bestuur kennis heeft genomen van de NIS2-verplichtingen, de risicobeheermaatregelen heeft goedgekeurd en toezicht houdt op de uitvoering ervan.</w:t>
            </w:r>
          </w:p>
        </w:tc>
      </w:tr>
      <w:tr>
        <w:trPr>
          <w:cantSplit/>
        </w:trPr>
        <w:tc>
          <w:tcPr>
            <w:tcW w:type="dxa" w:w="2400"/>
            <w:shd w:val="clear" w:color="auto" w:fill="374151"/>
            <w:tcMar>
              <w:top w:w="80" w:type="dxa"/>
              <w:bottom w:w="80" w:type="dxa"/>
              <w:start w:w="120" w:type="dxa"/>
              <w:end w:w="120" w:type="dxa"/>
            </w:tcMar>
          </w:tcPr>
          <w:p>
            <w:pPr>
              <w:spacing w:after="0"/>
            </w:pPr>
            <w:r>
              <w:rPr>
                <w:rFonts w:ascii="Calibri" w:hAnsi="Calibri"/>
                <w:b/>
                <w:i w:val="0"/>
                <w:color w:val="FFFFFF"/>
                <w:sz w:val="18"/>
              </w:rPr>
              <w:t>Grondslag</w:t>
            </w:r>
          </w:p>
        </w:tc>
        <w:tc>
          <w:tcPr>
            <w:tcW w:type="dxa" w:w="6104"/>
            <w:tcMar>
              <w:top w:w="80" w:type="dxa"/>
              <w:bottom w:w="80" w:type="dxa"/>
              <w:start w:w="120" w:type="dxa"/>
              <w:end w:w="120" w:type="dxa"/>
            </w:tcMar>
          </w:tcPr>
          <w:p>
            <w:pPr>
              <w:spacing w:after="0"/>
            </w:pPr>
            <w:r>
              <w:rPr>
                <w:rFonts w:ascii="Calibri" w:hAnsi="Calibri"/>
                <w:b w:val="0"/>
                <w:i w:val="0"/>
                <w:color w:val="374151"/>
                <w:sz w:val="20"/>
              </w:rPr>
              <w:t>NIS2 Art. 20(1): goedkeuring en toezicht door het bestuursorgaan. Art. 20(2): verplichte bijscholing van bestuursleden.</w:t>
            </w:r>
          </w:p>
        </w:tc>
      </w:tr>
      <w:tr>
        <w:trPr>
          <w:cantSplit/>
        </w:trPr>
        <w:tc>
          <w:tcPr>
            <w:tcW w:type="dxa" w:w="2400"/>
            <w:shd w:val="clear" w:color="auto" w:fill="374151"/>
            <w:tcMar>
              <w:top w:w="80" w:type="dxa"/>
              <w:bottom w:w="80" w:type="dxa"/>
              <w:start w:w="120" w:type="dxa"/>
              <w:end w:w="120" w:type="dxa"/>
            </w:tcMar>
          </w:tcPr>
          <w:p>
            <w:pPr>
              <w:spacing w:after="0"/>
            </w:pPr>
            <w:r>
              <w:rPr>
                <w:rFonts w:ascii="Calibri" w:hAnsi="Calibri"/>
                <w:b/>
                <w:i w:val="0"/>
                <w:color w:val="FFFFFF"/>
                <w:sz w:val="18"/>
              </w:rPr>
              <w:t>Reikwijdte</w:t>
            </w:r>
          </w:p>
        </w:tc>
        <w:tc>
          <w:tcPr>
            <w:tcW w:type="dxa" w:w="6104"/>
            <w:tcMar>
              <w:top w:w="80" w:type="dxa"/>
              <w:bottom w:w="80" w:type="dxa"/>
              <w:start w:w="120" w:type="dxa"/>
              <w:end w:w="120" w:type="dxa"/>
            </w:tcMar>
          </w:tcPr>
          <w:p>
            <w:pPr>
              <w:spacing w:after="0"/>
            </w:pPr>
            <w:r>
              <w:rPr>
                <w:rFonts w:ascii="Calibri" w:hAnsi="Calibri"/>
                <w:b w:val="0"/>
                <w:i w:val="0"/>
                <w:color w:val="374151"/>
                <w:sz w:val="20"/>
              </w:rPr>
              <w:t xml:space="preserve">De gehele entiteit </w:t>
            </w:r>
            <w:r>
              <w:rPr>
                <w:rFonts w:ascii="Calibri" w:hAnsi="Calibri"/>
                <w:b/>
                <w:i w:val="0"/>
                <w:color w:val="713F12"/>
                <w:sz w:val="20"/>
                <w:highlight w:val="yellow"/>
              </w:rPr>
              <w:t>{{BEDRIJFSNAAM}}</w:t>
            </w:r>
            <w:r>
              <w:rPr>
                <w:rFonts w:ascii="Calibri" w:hAnsi="Calibri"/>
                <w:b w:val="0"/>
                <w:i w:val="0"/>
                <w:color w:val="374151"/>
                <w:sz w:val="20"/>
              </w:rPr>
              <w:t xml:space="preserve"> en alle onder NIS2 vallende diensten, systemen en processen.</w:t>
            </w:r>
          </w:p>
        </w:tc>
      </w:tr>
      <w:tr>
        <w:trPr>
          <w:cantSplit/>
        </w:trPr>
        <w:tc>
          <w:tcPr>
            <w:tcW w:type="dxa" w:w="2400"/>
            <w:shd w:val="clear" w:color="auto" w:fill="374151"/>
            <w:tcMar>
              <w:top w:w="80" w:type="dxa"/>
              <w:bottom w:w="80" w:type="dxa"/>
              <w:start w:w="120" w:type="dxa"/>
              <w:end w:w="120" w:type="dxa"/>
            </w:tcMar>
          </w:tcPr>
          <w:p>
            <w:pPr>
              <w:spacing w:after="0"/>
            </w:pPr>
            <w:r>
              <w:rPr>
                <w:rFonts w:ascii="Calibri" w:hAnsi="Calibri"/>
                <w:b/>
                <w:i w:val="0"/>
                <w:color w:val="FFFFFF"/>
                <w:sz w:val="18"/>
              </w:rPr>
              <w:t>Eigenaar</w:t>
            </w:r>
          </w:p>
        </w:tc>
        <w:tc>
          <w:tcPr>
            <w:tcW w:type="dxa" w:w="6104"/>
            <w:tcMar>
              <w:top w:w="80" w:type="dxa"/>
              <w:bottom w:w="80" w:type="dxa"/>
              <w:start w:w="120" w:type="dxa"/>
              <w:end w:w="120" w:type="dxa"/>
            </w:tcMar>
          </w:tcPr>
          <w:p>
            <w:pPr>
              <w:spacing w:after="0"/>
            </w:pPr>
            <w:r>
              <w:rPr>
                <w:rFonts w:ascii="Calibri" w:hAnsi="Calibri"/>
                <w:b/>
                <w:i w:val="0"/>
                <w:color w:val="713F12"/>
                <w:sz w:val="20"/>
                <w:highlight w:val="yellow"/>
              </w:rPr>
              <w:t>{{NAAM BESTUURDER / CEO}}</w:t>
            </w:r>
            <w:r>
              <w:rPr>
                <w:rFonts w:ascii="Calibri" w:hAnsi="Calibri"/>
                <w:b w:val="0"/>
                <w:i w:val="0"/>
                <w:color w:val="374151"/>
                <w:sz w:val="20"/>
              </w:rPr>
              <w:t xml:space="preserve">  ·  Datum: </w:t>
            </w:r>
            <w:r>
              <w:rPr>
                <w:rFonts w:ascii="Calibri" w:hAnsi="Calibri"/>
                <w:b/>
                <w:i w:val="0"/>
                <w:color w:val="713F12"/>
                <w:sz w:val="20"/>
                <w:highlight w:val="yellow"/>
              </w:rPr>
              <w:t>{{DATUM}}</w:t>
            </w:r>
            <w:r>
              <w:rPr>
                <w:rFonts w:ascii="Calibri" w:hAnsi="Calibri"/>
                <w:b w:val="0"/>
                <w:i w:val="0"/>
                <w:color w:val="374151"/>
                <w:sz w:val="20"/>
              </w:rPr>
              <w:t xml:space="preserve">  ·  Versie: 1.0</w:t>
            </w:r>
          </w:p>
        </w:tc>
      </w:tr>
    </w:tbl>
    <w:p>
      <w:pPr>
        <w:spacing w:before="280" w:after="120"/>
        <w:pBdr>
          <w:bottom w:val="single" w:sz="6" w:space="2" w:color="E5E7EB"/>
        </w:pBdr>
      </w:pPr>
      <w:r>
        <w:rPr>
          <w:rFonts w:ascii="Calibri" w:hAnsi="Calibri"/>
          <w:b/>
          <w:i w:val="0"/>
          <w:color w:val="1C1C2E"/>
          <w:sz w:val="26"/>
        </w:rPr>
        <w:t xml:space="preserve">§2  </w:t>
      </w:r>
      <w:r>
        <w:rPr>
          <w:rFonts w:ascii="Calibri" w:hAnsi="Calibri"/>
          <w:b/>
          <w:i w:val="0"/>
          <w:color w:val="1C1C2E"/>
          <w:sz w:val="26"/>
        </w:rPr>
        <w:t>Verklaring van het bestuur</w:t>
      </w:r>
      <w:r>
        <w:rPr>
          <w:rFonts w:ascii="Calibri" w:hAnsi="Calibri"/>
          <w:b w:val="0"/>
          <w:i w:val="0"/>
          <w:color w:val="1D4ED8"/>
          <w:sz w:val="18"/>
        </w:rPr>
        <w:t xml:space="preserve">    Art. 20–24</w:t>
      </w:r>
    </w:p>
    <w:p>
      <w:pPr>
        <w:spacing w:after="80"/>
      </w:pPr>
      <w:r>
        <w:rPr>
          <w:rFonts w:ascii="Calibri" w:hAnsi="Calibri"/>
          <w:b w:val="0"/>
          <w:i w:val="0"/>
          <w:color w:val="374151"/>
          <w:sz w:val="22"/>
        </w:rPr>
        <w:t xml:space="preserve">Het bestuur van </w:t>
      </w:r>
      <w:r>
        <w:rPr>
          <w:rFonts w:ascii="Calibri" w:hAnsi="Calibri"/>
          <w:b/>
          <w:i w:val="0"/>
          <w:color w:val="713F12"/>
          <w:sz w:val="20"/>
          <w:highlight w:val="yellow"/>
        </w:rPr>
        <w:t>{{BEDRIJFSNAAM}}</w:t>
      </w:r>
      <w:r>
        <w:rPr>
          <w:rFonts w:ascii="Calibri" w:hAnsi="Calibri"/>
          <w:b w:val="0"/>
          <w:i w:val="0"/>
          <w:color w:val="374151"/>
          <w:sz w:val="22"/>
        </w:rPr>
        <w:t xml:space="preserve"> verklaart hierbij dat het:</w:t>
      </w:r>
    </w:p>
    <w:p>
      <w:pPr>
        <w:spacing w:after="100"/>
        <w:ind w:left="454" w:hanging="454"/>
      </w:pPr>
      <w:r>
        <w:rPr>
          <w:rFonts w:ascii="Calibri" w:hAnsi="Calibri"/>
          <w:b/>
          <w:i w:val="0"/>
          <w:color w:val="14532D"/>
          <w:sz w:val="22"/>
        </w:rPr>
        <w:t xml:space="preserve">1.  </w:t>
      </w:r>
      <w:r>
        <w:rPr>
          <w:rFonts w:ascii="Calibri" w:hAnsi="Calibri"/>
          <w:b w:val="0"/>
          <w:i w:val="0"/>
          <w:color w:val="374151"/>
          <w:sz w:val="22"/>
        </w:rPr>
        <w:t>kennis heeft genomen van de toepasselijkheid van de NIS2-richtlijn op de organisatie en de daaruit voortvloeiende verplichtingen (Art. 3, 21 en 23);</w:t>
      </w:r>
    </w:p>
    <w:p>
      <w:pPr>
        <w:spacing w:after="100"/>
        <w:ind w:left="454" w:hanging="454"/>
      </w:pPr>
      <w:r>
        <w:rPr>
          <w:rFonts w:ascii="Calibri" w:hAnsi="Calibri"/>
          <w:b/>
          <w:i w:val="0"/>
          <w:color w:val="14532D"/>
          <w:sz w:val="22"/>
        </w:rPr>
        <w:t xml:space="preserve">2.  </w:t>
      </w:r>
      <w:r>
        <w:rPr>
          <w:rFonts w:ascii="Calibri" w:hAnsi="Calibri"/>
          <w:b w:val="0"/>
          <w:i w:val="0"/>
          <w:color w:val="374151"/>
          <w:sz w:val="22"/>
        </w:rPr>
        <w:t>de cyberbeveiligings­maatregelen zoals vastgelegd in de NIS2 Compliance Toolkit (Modules 1–8 en de bijbehorende registers) heeft beoordeeld en formeel heeft goedgekeurd;</w:t>
      </w:r>
    </w:p>
    <w:p>
      <w:pPr>
        <w:spacing w:after="100"/>
        <w:ind w:left="454" w:hanging="454"/>
      </w:pPr>
      <w:r>
        <w:rPr>
          <w:rFonts w:ascii="Calibri" w:hAnsi="Calibri"/>
          <w:b/>
          <w:i w:val="0"/>
          <w:color w:val="14532D"/>
          <w:sz w:val="22"/>
        </w:rPr>
        <w:t xml:space="preserve">3.  </w:t>
      </w:r>
      <w:r>
        <w:rPr>
          <w:rFonts w:ascii="Calibri" w:hAnsi="Calibri"/>
          <w:b w:val="0"/>
          <w:i w:val="0"/>
          <w:color w:val="374151"/>
          <w:sz w:val="22"/>
        </w:rPr>
        <w:t>toezicht houdt op de daadwerkelijke uitvoering en effectiviteit van deze maatregelen en daarover periodiek wordt geïnformeerd;</w:t>
      </w:r>
    </w:p>
    <w:p>
      <w:pPr>
        <w:spacing w:after="100"/>
        <w:ind w:left="454" w:hanging="454"/>
      </w:pPr>
      <w:r>
        <w:rPr>
          <w:rFonts w:ascii="Calibri" w:hAnsi="Calibri"/>
          <w:b/>
          <w:i w:val="0"/>
          <w:color w:val="14532D"/>
          <w:sz w:val="22"/>
        </w:rPr>
        <w:t xml:space="preserve">4.  </w:t>
      </w:r>
      <w:r>
        <w:rPr>
          <w:rFonts w:ascii="Calibri" w:hAnsi="Calibri"/>
          <w:b w:val="0"/>
          <w:i w:val="0"/>
          <w:color w:val="374151"/>
          <w:sz w:val="22"/>
        </w:rPr>
        <w:t>voldoende middelen (budget, mensen en tijd) beschikbaar stelt om de maatregelen te implementeren en te onderhouden;</w:t>
      </w:r>
    </w:p>
    <w:p>
      <w:pPr>
        <w:spacing w:after="100"/>
        <w:ind w:left="454" w:hanging="454"/>
      </w:pPr>
      <w:r>
        <w:rPr>
          <w:rFonts w:ascii="Calibri" w:hAnsi="Calibri"/>
          <w:b/>
          <w:i w:val="0"/>
          <w:color w:val="14532D"/>
          <w:sz w:val="22"/>
        </w:rPr>
        <w:t xml:space="preserve">5.  </w:t>
      </w:r>
      <w:r>
        <w:rPr>
          <w:rFonts w:ascii="Calibri" w:hAnsi="Calibri"/>
          <w:b w:val="0"/>
          <w:i w:val="0"/>
          <w:color w:val="374151"/>
          <w:sz w:val="22"/>
        </w:rPr>
        <w:t>de verplichte bijscholing over cyberrisico's volgt, zodat het de risico's en maatregelen op waarde kan schatten (Art. 20(2));</w:t>
      </w:r>
    </w:p>
    <w:p>
      <w:pPr>
        <w:spacing w:after="100"/>
        <w:ind w:left="454" w:hanging="454"/>
      </w:pPr>
      <w:r>
        <w:rPr>
          <w:rFonts w:ascii="Calibri" w:hAnsi="Calibri"/>
          <w:b/>
          <w:i w:val="0"/>
          <w:color w:val="14532D"/>
          <w:sz w:val="22"/>
        </w:rPr>
        <w:t xml:space="preserve">6.  </w:t>
      </w:r>
      <w:r>
        <w:rPr>
          <w:rFonts w:ascii="Calibri" w:hAnsi="Calibri"/>
          <w:b w:val="0"/>
          <w:i w:val="0"/>
          <w:color w:val="374151"/>
          <w:sz w:val="22"/>
        </w:rPr>
        <w:t>erop toeziet dat significante incidenten binnen de wettelijke termijnen worden gemeld (vroegtijdige waarschuwing &lt; 24 uur, melding &lt; 72 uur, eindrapport &lt; 1 maand);</w:t>
      </w:r>
    </w:p>
    <w:p>
      <w:pPr>
        <w:spacing w:after="100"/>
        <w:ind w:left="454" w:hanging="454"/>
      </w:pPr>
      <w:r>
        <w:rPr>
          <w:rFonts w:ascii="Calibri" w:hAnsi="Calibri"/>
          <w:b/>
          <w:i w:val="0"/>
          <w:color w:val="14532D"/>
          <w:sz w:val="22"/>
        </w:rPr>
        <w:t xml:space="preserve">7.  </w:t>
      </w:r>
      <w:r>
        <w:rPr>
          <w:rFonts w:ascii="Calibri" w:hAnsi="Calibri"/>
          <w:b w:val="0"/>
          <w:i w:val="0"/>
          <w:color w:val="374151"/>
          <w:sz w:val="22"/>
        </w:rPr>
        <w:t>het NIS2-compliance­programma minimaal jaarlijks laat evalueren en aantoonbaar laat verbeteren (Module 8 — Jaarlijkse Review);</w:t>
      </w:r>
    </w:p>
    <w:p>
      <w:pPr>
        <w:spacing w:after="100"/>
        <w:ind w:left="454" w:hanging="454"/>
      </w:pPr>
      <w:r>
        <w:rPr>
          <w:rFonts w:ascii="Calibri" w:hAnsi="Calibri"/>
          <w:b/>
          <w:i w:val="0"/>
          <w:color w:val="14532D"/>
          <w:sz w:val="22"/>
        </w:rPr>
        <w:t xml:space="preserve">8.  </w:t>
      </w:r>
      <w:r>
        <w:rPr>
          <w:rFonts w:ascii="Calibri" w:hAnsi="Calibri"/>
          <w:b w:val="0"/>
          <w:i w:val="0"/>
          <w:color w:val="374151"/>
          <w:sz w:val="22"/>
        </w:rPr>
        <w:t>zich bewust is van de bestuurlijke aansprakelijkheid bij nalatigheid en deze verantwoordelijkheid aanvaardt.</w:t>
      </w:r>
    </w:p>
    <w:p>
      <w:pPr>
        <w:spacing w:before="280" w:after="120"/>
        <w:pBdr>
          <w:bottom w:val="single" w:sz="6" w:space="2" w:color="E5E7EB"/>
        </w:pBdr>
      </w:pPr>
      <w:r>
        <w:rPr>
          <w:rFonts w:ascii="Calibri" w:hAnsi="Calibri"/>
          <w:b/>
          <w:i w:val="0"/>
          <w:color w:val="1C1C2E"/>
          <w:sz w:val="26"/>
        </w:rPr>
        <w:t xml:space="preserve">§3  </w:t>
      </w:r>
      <w:r>
        <w:rPr>
          <w:rFonts w:ascii="Calibri" w:hAnsi="Calibri"/>
          <w:b/>
          <w:i w:val="0"/>
          <w:color w:val="1C1C2E"/>
          <w:sz w:val="26"/>
        </w:rPr>
        <w:t>Verantwoordelijkheden</w:t>
      </w:r>
      <w:r>
        <w:rPr>
          <w:rFonts w:ascii="Calibri" w:hAnsi="Calibri"/>
          <w:b w:val="0"/>
          <w:i w:val="0"/>
          <w:color w:val="1D4ED8"/>
          <w:sz w:val="18"/>
        </w:rPr>
        <w:t xml:space="preserve">    Art. 21(1)</w:t>
      </w:r>
    </w:p>
    <w:tbl>
      <w:tblPr>
        <w:tblW w:type="auto" w:w="0"/>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252"/>
        <w:gridCol w:w="4252"/>
      </w:tblGrid>
      <w:tr>
        <w:trPr>
          <w:cantSplit/>
        </w:trPr>
        <w:tc>
          <w:tcPr>
            <w:tcW w:type="dxa" w:w="2600"/>
            <w:shd w:val="clear" w:color="auto" w:fill="1C1C2E"/>
            <w:tcMar>
              <w:top w:w="80" w:type="dxa"/>
              <w:bottom w:w="80" w:type="dxa"/>
              <w:start w:w="120" w:type="dxa"/>
              <w:end w:w="120" w:type="dxa"/>
            </w:tcMar>
          </w:tcPr>
          <w:p>
            <w:pPr>
              <w:spacing w:after="0"/>
            </w:pPr>
            <w:r>
              <w:rPr>
                <w:rFonts w:ascii="Calibri" w:hAnsi="Calibri"/>
                <w:b/>
                <w:i w:val="0"/>
                <w:color w:val="FFFFFF"/>
                <w:sz w:val="18"/>
              </w:rPr>
              <w:t>Rol</w:t>
            </w:r>
          </w:p>
        </w:tc>
        <w:tc>
          <w:tcPr>
            <w:tcW w:type="dxa" w:w="5904"/>
            <w:shd w:val="clear" w:color="auto" w:fill="1C1C2E"/>
            <w:tcMar>
              <w:top w:w="80" w:type="dxa"/>
              <w:bottom w:w="80" w:type="dxa"/>
              <w:start w:w="120" w:type="dxa"/>
              <w:end w:w="120" w:type="dxa"/>
            </w:tcMar>
          </w:tcPr>
          <w:p>
            <w:pPr>
              <w:spacing w:after="0"/>
            </w:pPr>
            <w:r>
              <w:rPr>
                <w:rFonts w:ascii="Calibri" w:hAnsi="Calibri"/>
                <w:b/>
                <w:i w:val="0"/>
                <w:color w:val="FFFFFF"/>
                <w:sz w:val="18"/>
              </w:rPr>
              <w:t>Verantwoordelijkheid</w:t>
            </w:r>
          </w:p>
        </w:tc>
      </w:tr>
      <w:tr>
        <w:trPr>
          <w:cantSplit/>
        </w:trPr>
        <w:tc>
          <w:tcPr>
            <w:tcW w:type="dxa" w:w="2600"/>
            <w:shd w:val="clear" w:color="auto" w:fill="374151"/>
            <w:tcMar>
              <w:top w:w="80" w:type="dxa"/>
              <w:bottom w:w="80" w:type="dxa"/>
              <w:start w:w="120" w:type="dxa"/>
              <w:end w:w="120" w:type="dxa"/>
            </w:tcMar>
          </w:tcPr>
          <w:p>
            <w:pPr>
              <w:spacing w:after="0"/>
            </w:pPr>
            <w:r>
              <w:rPr>
                <w:rFonts w:ascii="Calibri" w:hAnsi="Calibri"/>
                <w:b/>
                <w:i w:val="0"/>
                <w:color w:val="FFFFFF"/>
                <w:sz w:val="18"/>
              </w:rPr>
              <w:t>Bestuur / Directie</w:t>
            </w:r>
          </w:p>
        </w:tc>
        <w:tc>
          <w:tcPr>
            <w:tcW w:type="dxa" w:w="5904"/>
            <w:tcMar>
              <w:top w:w="80" w:type="dxa"/>
              <w:bottom w:w="80" w:type="dxa"/>
              <w:start w:w="120" w:type="dxa"/>
              <w:end w:w="120" w:type="dxa"/>
            </w:tcMar>
          </w:tcPr>
          <w:p>
            <w:pPr>
              <w:spacing w:after="0"/>
            </w:pPr>
            <w:r>
              <w:rPr>
                <w:rFonts w:ascii="Calibri" w:hAnsi="Calibri"/>
                <w:b w:val="0"/>
                <w:i w:val="0"/>
                <w:color w:val="374151"/>
                <w:sz w:val="20"/>
              </w:rPr>
              <w:t>Goedkeuring van beleid en maatregelen, toezicht, beschikbaar stellen van middelen, eindverantwoordelijkheid en aansprakelijkheid (Art. 20).</w:t>
            </w:r>
          </w:p>
        </w:tc>
      </w:tr>
      <w:tr>
        <w:trPr>
          <w:cantSplit/>
        </w:trPr>
        <w:tc>
          <w:tcPr>
            <w:tcW w:type="dxa" w:w="2600"/>
            <w:shd w:val="clear" w:color="auto" w:fill="374151"/>
            <w:tcMar>
              <w:top w:w="80" w:type="dxa"/>
              <w:bottom w:w="80" w:type="dxa"/>
              <w:start w:w="120" w:type="dxa"/>
              <w:end w:w="120" w:type="dxa"/>
            </w:tcMar>
          </w:tcPr>
          <w:p>
            <w:pPr>
              <w:spacing w:after="0"/>
            </w:pPr>
            <w:r>
              <w:rPr>
                <w:rFonts w:ascii="Calibri" w:hAnsi="Calibri"/>
                <w:b/>
                <w:i w:val="0"/>
                <w:color w:val="FFFFFF"/>
                <w:sz w:val="18"/>
              </w:rPr>
              <w:t>CISO / Security-verantwoordelijke</w:t>
            </w:r>
          </w:p>
        </w:tc>
        <w:tc>
          <w:tcPr>
            <w:tcW w:type="dxa" w:w="5904"/>
            <w:tcMar>
              <w:top w:w="80" w:type="dxa"/>
              <w:bottom w:w="80" w:type="dxa"/>
              <w:start w:w="120" w:type="dxa"/>
              <w:end w:w="120" w:type="dxa"/>
            </w:tcMar>
          </w:tcPr>
          <w:p>
            <w:pPr>
              <w:spacing w:after="0"/>
            </w:pPr>
            <w:r>
              <w:rPr>
                <w:rFonts w:ascii="Calibri" w:hAnsi="Calibri"/>
                <w:b w:val="0"/>
                <w:i w:val="0"/>
                <w:color w:val="374151"/>
                <w:sz w:val="20"/>
              </w:rPr>
              <w:t>Opstellen, implementeren en bewaken van de maatregelen; rapportage aan het bestuur; coördinatie incidentmelding.</w:t>
            </w:r>
          </w:p>
        </w:tc>
      </w:tr>
      <w:tr>
        <w:trPr>
          <w:cantSplit/>
        </w:trPr>
        <w:tc>
          <w:tcPr>
            <w:tcW w:type="dxa" w:w="2600"/>
            <w:shd w:val="clear" w:color="auto" w:fill="374151"/>
            <w:tcMar>
              <w:top w:w="80" w:type="dxa"/>
              <w:bottom w:w="80" w:type="dxa"/>
              <w:start w:w="120" w:type="dxa"/>
              <w:end w:w="120" w:type="dxa"/>
            </w:tcMar>
          </w:tcPr>
          <w:p>
            <w:pPr>
              <w:spacing w:after="0"/>
            </w:pPr>
            <w:r>
              <w:rPr>
                <w:rFonts w:ascii="Calibri" w:hAnsi="Calibri"/>
                <w:b/>
                <w:i w:val="0"/>
                <w:color w:val="FFFFFF"/>
                <w:sz w:val="18"/>
              </w:rPr>
              <w:t>IT-beheer / leverancier</w:t>
            </w:r>
          </w:p>
        </w:tc>
        <w:tc>
          <w:tcPr>
            <w:tcW w:type="dxa" w:w="5904"/>
            <w:tcMar>
              <w:top w:w="80" w:type="dxa"/>
              <w:bottom w:w="80" w:type="dxa"/>
              <w:start w:w="120" w:type="dxa"/>
              <w:end w:w="120" w:type="dxa"/>
            </w:tcMar>
          </w:tcPr>
          <w:p>
            <w:pPr>
              <w:spacing w:after="0"/>
            </w:pPr>
            <w:r>
              <w:rPr>
                <w:rFonts w:ascii="Calibri" w:hAnsi="Calibri"/>
                <w:b w:val="0"/>
                <w:i w:val="0"/>
                <w:color w:val="374151"/>
                <w:sz w:val="20"/>
              </w:rPr>
              <w:t>Technische implementatie en beheer van de beveiligingsmaatregelen.</w:t>
            </w:r>
          </w:p>
        </w:tc>
      </w:tr>
      <w:tr>
        <w:trPr>
          <w:cantSplit/>
        </w:trPr>
        <w:tc>
          <w:tcPr>
            <w:tcW w:type="dxa" w:w="2600"/>
            <w:shd w:val="clear" w:color="auto" w:fill="374151"/>
            <w:tcMar>
              <w:top w:w="80" w:type="dxa"/>
              <w:bottom w:w="80" w:type="dxa"/>
              <w:start w:w="120" w:type="dxa"/>
              <w:end w:w="120" w:type="dxa"/>
            </w:tcMar>
          </w:tcPr>
          <w:p>
            <w:pPr>
              <w:spacing w:after="0"/>
            </w:pPr>
            <w:r>
              <w:rPr>
                <w:rFonts w:ascii="Calibri" w:hAnsi="Calibri"/>
                <w:b/>
                <w:i w:val="0"/>
                <w:color w:val="FFFFFF"/>
                <w:sz w:val="18"/>
              </w:rPr>
              <w:t>Alle medewerkers</w:t>
            </w:r>
          </w:p>
        </w:tc>
        <w:tc>
          <w:tcPr>
            <w:tcW w:type="dxa" w:w="5904"/>
            <w:tcMar>
              <w:top w:w="80" w:type="dxa"/>
              <w:bottom w:w="80" w:type="dxa"/>
              <w:start w:w="120" w:type="dxa"/>
              <w:end w:w="120" w:type="dxa"/>
            </w:tcMar>
          </w:tcPr>
          <w:p>
            <w:pPr>
              <w:spacing w:after="0"/>
            </w:pPr>
            <w:r>
              <w:rPr>
                <w:rFonts w:ascii="Calibri" w:hAnsi="Calibri"/>
                <w:b w:val="0"/>
                <w:i w:val="0"/>
                <w:color w:val="374151"/>
                <w:sz w:val="20"/>
              </w:rPr>
              <w:t>Naleving van het beleid, cyberhygiëne en het melden van (vermoedelijke) incidenten.</w:t>
            </w:r>
          </w:p>
        </w:tc>
      </w:tr>
    </w:tbl>
    <w:p>
      <w:pPr>
        <w:spacing w:before="280" w:after="120"/>
        <w:pBdr>
          <w:bottom w:val="single" w:sz="6" w:space="2" w:color="E5E7EB"/>
        </w:pBdr>
      </w:pPr>
      <w:r>
        <w:rPr>
          <w:rFonts w:ascii="Calibri" w:hAnsi="Calibri"/>
          <w:b/>
          <w:i w:val="0"/>
          <w:color w:val="1C1C2E"/>
          <w:sz w:val="26"/>
        </w:rPr>
        <w:t xml:space="preserve">§4  </w:t>
      </w:r>
      <w:r>
        <w:rPr>
          <w:rFonts w:ascii="Calibri" w:hAnsi="Calibri"/>
          <w:b/>
          <w:i w:val="0"/>
          <w:color w:val="1C1C2E"/>
          <w:sz w:val="26"/>
        </w:rPr>
        <w:t>Ondertekening door het bestuur</w:t>
      </w:r>
    </w:p>
    <w:p>
      <w:pPr>
        <w:spacing w:before="0" w:after="160"/>
      </w:pPr>
      <w:r>
        <w:rPr>
          <w:rFonts w:ascii="Calibri" w:hAnsi="Calibri"/>
          <w:b w:val="0"/>
          <w:i/>
          <w:color w:val="6B7280"/>
          <w:sz w:val="20"/>
        </w:rPr>
        <w:t>Door ondertekening bevestigt elk bestuurslid bovenstaande verklaring.</w:t>
      </w:r>
    </w:p>
    <w:tbl>
      <w:tblPr>
        <w:tblW w:type="auto" w:w="0"/>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126"/>
        <w:gridCol w:w="2126"/>
        <w:gridCol w:w="2126"/>
        <w:gridCol w:w="2126"/>
      </w:tblGrid>
      <w:tr>
        <w:trPr>
          <w:cantSplit/>
        </w:trPr>
        <w:tc>
          <w:tcPr>
            <w:tcW w:type="dxa" w:w="2600"/>
            <w:shd w:val="clear" w:color="auto" w:fill="374151"/>
            <w:tcMar>
              <w:top w:w="80" w:type="dxa"/>
              <w:bottom w:w="80" w:type="dxa"/>
              <w:start w:w="120" w:type="dxa"/>
              <w:end w:w="120" w:type="dxa"/>
            </w:tcMar>
          </w:tcPr>
          <w:p>
            <w:pPr>
              <w:spacing w:after="0"/>
            </w:pPr>
            <w:r>
              <w:rPr>
                <w:rFonts w:ascii="Calibri" w:hAnsi="Calibri"/>
                <w:b/>
                <w:i w:val="0"/>
                <w:color w:val="FFFFFF"/>
                <w:sz w:val="18"/>
              </w:rPr>
              <w:t>Naam</w:t>
            </w:r>
          </w:p>
        </w:tc>
        <w:tc>
          <w:tcPr>
            <w:tcW w:type="dxa" w:w="2400"/>
            <w:shd w:val="clear" w:color="auto" w:fill="374151"/>
            <w:tcMar>
              <w:top w:w="80" w:type="dxa"/>
              <w:bottom w:w="80" w:type="dxa"/>
              <w:start w:w="120" w:type="dxa"/>
              <w:end w:w="120" w:type="dxa"/>
            </w:tcMar>
          </w:tcPr>
          <w:p>
            <w:pPr>
              <w:spacing w:after="0"/>
            </w:pPr>
            <w:r>
              <w:rPr>
                <w:rFonts w:ascii="Calibri" w:hAnsi="Calibri"/>
                <w:b/>
                <w:i w:val="0"/>
                <w:color w:val="FFFFFF"/>
                <w:sz w:val="18"/>
              </w:rPr>
              <w:t>Functie</w:t>
            </w:r>
          </w:p>
        </w:tc>
        <w:tc>
          <w:tcPr>
            <w:tcW w:type="dxa" w:w="1804"/>
            <w:shd w:val="clear" w:color="auto" w:fill="374151"/>
            <w:tcMar>
              <w:top w:w="80" w:type="dxa"/>
              <w:bottom w:w="80" w:type="dxa"/>
              <w:start w:w="120" w:type="dxa"/>
              <w:end w:w="120" w:type="dxa"/>
            </w:tcMar>
          </w:tcPr>
          <w:p>
            <w:pPr>
              <w:spacing w:after="0"/>
            </w:pPr>
            <w:r>
              <w:rPr>
                <w:rFonts w:ascii="Calibri" w:hAnsi="Calibri"/>
                <w:b/>
                <w:i w:val="0"/>
                <w:color w:val="FFFFFF"/>
                <w:sz w:val="18"/>
              </w:rPr>
              <w:t>Datum</w:t>
            </w:r>
          </w:p>
        </w:tc>
        <w:tc>
          <w:tcPr>
            <w:tcW w:type="dxa" w:w="1700"/>
            <w:shd w:val="clear" w:color="auto" w:fill="374151"/>
            <w:tcMar>
              <w:top w:w="80" w:type="dxa"/>
              <w:bottom w:w="80" w:type="dxa"/>
              <w:start w:w="120" w:type="dxa"/>
              <w:end w:w="120" w:type="dxa"/>
            </w:tcMar>
          </w:tcPr>
          <w:p>
            <w:pPr>
              <w:spacing w:after="0"/>
            </w:pPr>
            <w:r>
              <w:rPr>
                <w:rFonts w:ascii="Calibri" w:hAnsi="Calibri"/>
                <w:b/>
                <w:i w:val="0"/>
                <w:color w:val="FFFFFF"/>
                <w:sz w:val="18"/>
              </w:rPr>
              <w:t>Handtekening</w:t>
            </w:r>
          </w:p>
        </w:tc>
      </w:tr>
      <w:tr>
        <w:trPr>
          <w:cantSplit/>
          <w:trHeight w:val="794"/>
        </w:trPr>
        <w:tc>
          <w:tcPr>
            <w:tcW w:type="dxa" w:w="2600"/>
            <w:tcMar>
              <w:top w:w="80" w:type="dxa"/>
              <w:bottom w:w="80" w:type="dxa"/>
              <w:start w:w="120" w:type="dxa"/>
              <w:end w:w="120" w:type="dxa"/>
            </w:tcMar>
          </w:tcPr>
          <w:p>
            <w:pPr>
              <w:spacing w:after="0"/>
            </w:pPr>
            <w:r>
              <w:rPr>
                <w:rFonts w:ascii="Calibri" w:hAnsi="Calibri"/>
                <w:b/>
                <w:i w:val="0"/>
                <w:color w:val="713F12"/>
                <w:sz w:val="20"/>
                <w:highlight w:val="yellow"/>
              </w:rPr>
              <w:t>{{NAAM BESTUURDER 1}}</w:t>
            </w:r>
          </w:p>
        </w:tc>
        <w:tc>
          <w:tcPr>
            <w:tcW w:type="dxa" w:w="2400"/>
            <w:tcMar>
              <w:top w:w="80" w:type="dxa"/>
              <w:bottom w:w="80" w:type="dxa"/>
              <w:start w:w="120" w:type="dxa"/>
              <w:end w:w="120" w:type="dxa"/>
            </w:tcMar>
          </w:tcPr>
          <w:p>
            <w:pPr>
              <w:spacing w:after="0"/>
            </w:pPr>
            <w:r>
              <w:rPr>
                <w:rFonts w:ascii="Calibri" w:hAnsi="Calibri"/>
                <w:b/>
                <w:i w:val="0"/>
                <w:color w:val="713F12"/>
                <w:sz w:val="20"/>
                <w:highlight w:val="yellow"/>
              </w:rPr>
              <w:t>{{FUNCTIE}}</w:t>
            </w:r>
          </w:p>
        </w:tc>
        <w:tc>
          <w:tcPr>
            <w:tcW w:type="dxa" w:w="1804"/>
            <w:tcMar>
              <w:top w:w="80" w:type="dxa"/>
              <w:bottom w:w="80" w:type="dxa"/>
              <w:start w:w="120" w:type="dxa"/>
              <w:end w:w="120" w:type="dxa"/>
            </w:tcMar>
          </w:tcPr>
          <w:p>
            <w:pPr>
              <w:spacing w:after="0"/>
            </w:pPr>
            <w:r>
              <w:rPr>
                <w:rFonts w:ascii="Calibri" w:hAnsi="Calibri"/>
                <w:b/>
                <w:i w:val="0"/>
                <w:color w:val="713F12"/>
                <w:sz w:val="20"/>
                <w:highlight w:val="yellow"/>
              </w:rPr>
              <w:t>{{DATUM}}</w:t>
            </w:r>
          </w:p>
        </w:tc>
        <w:tc>
          <w:tcPr>
            <w:tcW w:type="dxa" w:w="1700"/>
            <w:tcMar>
              <w:top w:w="80" w:type="dxa"/>
              <w:bottom w:w="80" w:type="dxa"/>
              <w:start w:w="120" w:type="dxa"/>
              <w:end w:w="120" w:type="dxa"/>
            </w:tcMar>
          </w:tcPr>
          <w:p/>
        </w:tc>
      </w:tr>
      <w:tr>
        <w:trPr>
          <w:cantSplit/>
          <w:trHeight w:val="794"/>
        </w:trPr>
        <w:tc>
          <w:tcPr>
            <w:tcW w:type="dxa" w:w="2600"/>
            <w:tcMar>
              <w:top w:w="80" w:type="dxa"/>
              <w:bottom w:w="80" w:type="dxa"/>
              <w:start w:w="120" w:type="dxa"/>
              <w:end w:w="120" w:type="dxa"/>
            </w:tcMar>
          </w:tcPr>
          <w:p>
            <w:pPr>
              <w:spacing w:after="0"/>
            </w:pPr>
            <w:r>
              <w:rPr>
                <w:rFonts w:ascii="Calibri" w:hAnsi="Calibri"/>
                <w:b/>
                <w:i w:val="0"/>
                <w:color w:val="713F12"/>
                <w:sz w:val="20"/>
                <w:highlight w:val="yellow"/>
              </w:rPr>
              <w:t>{{NAAM BESTUURDER 2}}</w:t>
            </w:r>
          </w:p>
        </w:tc>
        <w:tc>
          <w:tcPr>
            <w:tcW w:type="dxa" w:w="2400"/>
            <w:tcMar>
              <w:top w:w="80" w:type="dxa"/>
              <w:bottom w:w="80" w:type="dxa"/>
              <w:start w:w="120" w:type="dxa"/>
              <w:end w:w="120" w:type="dxa"/>
            </w:tcMar>
          </w:tcPr>
          <w:p>
            <w:pPr>
              <w:spacing w:after="0"/>
            </w:pPr>
            <w:r>
              <w:rPr>
                <w:rFonts w:ascii="Calibri" w:hAnsi="Calibri"/>
                <w:b/>
                <w:i w:val="0"/>
                <w:color w:val="713F12"/>
                <w:sz w:val="20"/>
                <w:highlight w:val="yellow"/>
              </w:rPr>
              <w:t>{{FUNCTIE}}</w:t>
            </w:r>
          </w:p>
        </w:tc>
        <w:tc>
          <w:tcPr>
            <w:tcW w:type="dxa" w:w="1804"/>
            <w:tcMar>
              <w:top w:w="80" w:type="dxa"/>
              <w:bottom w:w="80" w:type="dxa"/>
              <w:start w:w="120" w:type="dxa"/>
              <w:end w:w="120" w:type="dxa"/>
            </w:tcMar>
          </w:tcPr>
          <w:p>
            <w:pPr>
              <w:spacing w:after="0"/>
            </w:pPr>
            <w:r>
              <w:rPr>
                <w:rFonts w:ascii="Calibri" w:hAnsi="Calibri"/>
                <w:b/>
                <w:i w:val="0"/>
                <w:color w:val="713F12"/>
                <w:sz w:val="20"/>
                <w:highlight w:val="yellow"/>
              </w:rPr>
              <w:t>{{DATUM}}</w:t>
            </w:r>
          </w:p>
        </w:tc>
        <w:tc>
          <w:tcPr>
            <w:tcW w:type="dxa" w:w="1700"/>
            <w:tcMar>
              <w:top w:w="80" w:type="dxa"/>
              <w:bottom w:w="80" w:type="dxa"/>
              <w:start w:w="120" w:type="dxa"/>
              <w:end w:w="120" w:type="dxa"/>
            </w:tcMar>
          </w:tcPr>
          <w:p/>
        </w:tc>
      </w:tr>
    </w:tbl>
    <w:p>
      <w:pPr>
        <w:spacing w:before="200" w:after="0"/>
      </w:pPr>
    </w:p>
    <w:p>
      <w:pPr>
        <w:spacing w:before="0" w:after="120"/>
      </w:pPr>
      <w:r>
        <w:rPr>
          <w:rFonts w:ascii="Calibri" w:hAnsi="Calibri"/>
          <w:b w:val="0"/>
          <w:i/>
          <w:color w:val="6B7280"/>
          <w:sz w:val="18"/>
        </w:rPr>
        <w:t>Bewaar deze ondertekende verklaring in uw NIS2-compliancedossier (Module 7 — Documentatie) als bewijs van bestuurlijke betrokkenheid richting de toezichthouder.</w:t>
      </w:r>
    </w:p>
    <w:tbl>
      <w:tblPr>
        <w:tblW w:type="auto" w:w="0"/>
        <w:tblLayout w:type="fixed"/>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8504"/>
      </w:tblGrid>
      <w:tr>
        <w:trPr>
          <w:cantSplit/>
        </w:trPr>
        <w:tc>
          <w:tcPr>
            <w:tcW w:type="dxa" w:w="8504"/>
            <w:shd w:val="clear" w:color="auto" w:fill="FFFBEB"/>
            <w:tcMar>
              <w:top w:w="100" w:type="dxa"/>
              <w:bottom w:w="100" w:type="dxa"/>
              <w:start w:w="140" w:type="dxa"/>
              <w:end w:w="140" w:type="dxa"/>
            </w:tcMar>
          </w:tcPr>
          <w:p>
            <w:pPr>
              <w:spacing w:after="0"/>
            </w:pPr>
            <w:r>
              <w:rPr>
                <w:rFonts w:ascii="Calibri" w:hAnsi="Calibri"/>
                <w:b/>
                <w:i w:val="0"/>
                <w:color w:val="713F12"/>
                <w:sz w:val="18"/>
              </w:rPr>
              <w:t xml:space="preserve">Disclaimer &amp; juridische context. </w:t>
            </w:r>
            <w:r>
              <w:rPr>
                <w:rFonts w:ascii="Calibri" w:hAnsi="Calibri"/>
                <w:b w:val="0"/>
                <w:i w:val="0"/>
                <w:color w:val="374151"/>
                <w:sz w:val="18"/>
              </w:rPr>
              <w:t>Dit document is een hulpmiddel uit de MKBTechGids NIS2 Compliance Toolkit en vormt geen juridisch advies of onafhankelijke audit. De NIS2-richtlijn (EU) 2022/2555 is in Nederland geïmplementeerd via de Cyberbeveiligingswet (Cbw); de exacte reikwijdte van bestuurdersverplichtingen en -aansprakelijkheid volgt uit die wet en eventuele sectorregelgeving. Raadpleeg voor uw specifieke situatie een gekwalificeerd jurist of adviseur.</w:t>
            </w:r>
          </w:p>
        </w:tc>
      </w:tr>
    </w:tbl>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9CA3AF"/>
        <w:sz w:val="16"/>
      </w:rPr>
      <w:t>MKBTechGids · NIS2 Compliance Toolkit · KVK 27348456 · BTW NL004968309B61 · mkbtechgids.nl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Pr>
      <w:rFonts w:ascii="Calibri" w:hAnsi="Calibri"/>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rPr>
      <w:rFonts w:ascii="Calibri" w:hAnsi="Calibri"/>
      <w:sz w:val="22"/>
    </w:rPr>
  </w:style>
  <w:style w:type="paragraph" w:styleId="BodyText2">
    <w:name w:val="Body Text 2"/>
    <w:basedOn w:val="Normal"/>
    <w:link w:val="BodyText2Char"/>
    <w:uiPriority w:val="99"/>
    <w:unhideWhenUsed/>
    <w:rsid w:val="00AA1D8D"/>
    <w:pPr>
      <w:spacing w:after="120" w:line="480" w:lineRule="auto"/>
    </w:pPr>
    <w:rPr>
      <w:rFonts w:ascii="Calibri" w:hAnsi="Calibri"/>
      <w:sz w:val="22"/>
    </w:rPr>
  </w:style>
  <w:style w:type="character" w:customStyle="1" w:styleId="BodyText2Char">
    <w:name w:val="Body Text 2 Char"/>
    <w:basedOn w:val="DefaultParagraphFont"/>
    <w:link w:val="BodyText2"/>
    <w:uiPriority w:val="99"/>
    <w:rsid w:val="00AA1D8D"/>
    <w:rPr>
      <w:rFonts w:ascii="Calibri" w:hAnsi="Calibri"/>
      <w:sz w:val="22"/>
    </w:rPr>
  </w:style>
  <w:style w:type="paragraph" w:styleId="BodyText3">
    <w:name w:val="Body Text 3"/>
    <w:basedOn w:val="Normal"/>
    <w:link w:val="BodyText3Char"/>
    <w:uiPriority w:val="99"/>
    <w:unhideWhenUsed/>
    <w:rsid w:val="00AA1D8D"/>
    <w:pPr>
      <w:spacing w:after="120"/>
    </w:pPr>
    <w:rPr>
      <w:rFonts w:ascii="Calibri" w:hAnsi="Calibri"/>
      <w:sz w:val="22"/>
      <w:szCs w:val="16"/>
    </w:rPr>
  </w:style>
  <w:style w:type="character" w:customStyle="1" w:styleId="BodyText3Char">
    <w:name w:val="Body Text 3 Char"/>
    <w:basedOn w:val="DefaultParagraphFont"/>
    <w:link w:val="BodyText3"/>
    <w:uiPriority w:val="99"/>
    <w:rsid w:val="00AA1D8D"/>
    <w:rPr>
      <w:rFonts w:ascii="Calibri" w:hAnsi="Calibri"/>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