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W w:w="8504" w:type="dxa"/>
        <w:jc w:val="left"/>
      </w:tblPr>
      <w:tblGrid>
        <w:gridCol w:w="6000"/>
        <w:gridCol w:w="2504"/>
      </w:tblGrid>
      <w:tblGrid>
        <w:gridCol w:w="4252"/>
        <w:gridCol w:w="4252"/>
      </w:tblGrid>
      <w:tr>
        <w:trPr>
          <w:cantSplit w:val="1"/>
          <w:tblHeader/>
        </w:trPr>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6000" w:type="dxa"/>
            <w:shd w:val="clear" w:color="auto" w:fill="1C1C2E"/>
            <w:tcMar>
              <w:top w:w="160" w:type="dxa"/>
              <w:bottom w:w="160" w:type="dxa"/>
              <w:left w:w="200" w:type="dxa"/>
              <w:right w:w="120" w:type="dxa"/>
            </w:tcMar>
          </w:tcPr>
          <w:p>
            <w:pPr>
              <w:spacing w:after="40"/>
            </w:pPr>
            <w:r>
              <w:rPr>
                <w:rFonts w:ascii="Calibri" w:hAnsi="Calibri"/>
                <w:b/>
                <w:i w:val="0"/>
                <w:color w:val="9CA3AF"/>
                <w:sz w:val="18"/>
              </w:rPr>
              <w:t>MODULE 3</w:t>
            </w:r>
          </w:p>
          <w:p>
            <w:r>
              <w:rPr>
                <w:rFonts w:ascii="Calibri" w:hAnsi="Calibri"/>
                <w:b/>
                <w:i w:val="0"/>
                <w:color w:val="FFFFFF"/>
                <w:sz w:val="36"/>
              </w:rPr>
              <w:t>Beveiligingsmaatregelen</w:t>
            </w:r>
          </w:p>
          <w:p>
            <w:r>
              <w:rPr>
                <w:rFonts w:ascii="Calibri" w:hAnsi="Calibri"/>
                <w:b w:val="0"/>
                <w:i w:val="0"/>
                <w:color w:val="9CA3AF"/>
                <w:sz w:val="18"/>
              </w:rPr>
              <w:t>Technische &amp; organisatorische maatregelen  ·  NIS2 Art. 21(2)  ·  ISO 27001 Bijlage A</w:t>
            </w:r>
          </w:p>
        </w:tc>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2504" w:type="dxa"/>
            <w:shd w:val="clear" w:color="auto" w:fill="1C1C2E"/>
            <w:tcMar>
              <w:top w:w="160" w:type="dxa"/>
              <w:bottom w:w="160" w:type="dxa"/>
              <w:left w:w="120" w:type="dxa"/>
              <w:right w:w="200" w:type="dxa"/>
            </w:tcMar>
          </w:tcPr>
          <w:p>
            <w:pPr>
              <w:jc w:val="right"/>
            </w:pPr>
            <w:r>
              <w:rPr>
                <w:rFonts w:ascii="Calibri" w:hAnsi="Calibri"/>
                <w:b/>
                <w:i w:val="0"/>
                <w:color w:val="9CA3AF"/>
                <w:sz w:val="20"/>
              </w:rPr>
              <w:t>MKBTechGids</w:t>
            </w:r>
          </w:p>
          <w:p>
            <w:pPr>
              <w:jc w:val="right"/>
            </w:pPr>
            <w:r>
              <w:rPr>
                <w:rFonts w:ascii="Calibri" w:hAnsi="Calibri"/>
                <w:b w:val="0"/>
                <w:i w:val="0"/>
                <w:color w:val="6B7280"/>
                <w:sz w:val="16"/>
              </w:rPr>
              <w:t>NIS2 Compliance Toolkit</w:t>
            </w:r>
          </w:p>
          <w:p>
            <w:pPr>
              <w:jc w:val="right"/>
            </w:pPr>
            <w:r>
              <w:rPr>
                <w:rFonts w:ascii="Calibri" w:hAnsi="Calibri"/>
                <w:b w:val="0"/>
                <w:i w:val="0"/>
                <w:color w:val="6B7280"/>
                <w:sz w:val="16"/>
              </w:rPr>
              <w:t>v1.0  ·  2026</w:t>
            </w:r>
          </w:p>
        </w:tc>
      </w:tr>
    </w:tbl>
    <w:p>
      <w:pPr>
        <w:spacing w:before="160" w:after="0"/>
      </w:pPr>
    </w:p>
    <w:p>
      <w:pPr>
        <w:spacing w:before="280" w:after="120"/>
        <w:keepNext w:val="1"/>
        <w:pBdr>
          <w:left w:val="single" w:sz="18" w:space="4" w:color="1c1c2e"/>
        </w:pBdr>
        <w:shd w:val="clear" w:color="auto" w:fill="F5F5F5"/>
        <w:ind w:left="180"/>
      </w:pPr>
      <w:r>
        <w:rPr>
          <w:rFonts w:ascii="Calibri" w:hAnsi="Calibri"/>
          <w:b/>
          <w:color w:val="1C1C2E"/>
          <w:sz w:val="20"/>
        </w:rPr>
        <w:t>1 · Doel &amp; Reikwijdte</w:t>
      </w:r>
      <w:r>
        <w:rPr>
          <w:rFonts w:ascii="Calibri" w:hAnsi="Calibri"/>
          <w:color w:val="1D4ED8"/>
          <w:sz w:val="16"/>
        </w:rPr>
        <w:t xml:space="preserve">    NIS2 Art. 21(2)  ·  ISO 27001 Cl. 6.1.3, A.5.1</w:t>
      </w:r>
    </w:p>
    <w:tbl>
      <w:tblPr>
        <w:tblW w:type="auto" w:w="0"/>
        <w:tblLook w:firstColumn="1" w:firstRow="1" w:lastColumn="0" w:lastRow="0" w:noHBand="0" w:noVBand="1" w:val="04A0"/>
        <w:tblW w:w="8504" w:type="dxa"/>
        <w:jc w:val="left"/>
      </w:tblPr>
      <w:tblGrid>
        <w:gridCol w:w="2400"/>
        <w:gridCol w:w="6104"/>
      </w:tblGrid>
      <w:tblGrid>
        <w:gridCol w:w="4252"/>
        <w:gridCol w:w="4252"/>
      </w:tblGrid>
      <w:tr>
        <w:trPr>
          <w:cantSplit w:val="1"/>
          <w:tblHeader/>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Doel</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Dit module documenteert de technische en organisatorische beveiligingsmaatregelen die uw organisatie heeft geïmplementeerd of gepland ter naleving van NIS2 Art. 21(2). Het vormt het behandelplan voor de risico's geïdentificeerd in Module 2.</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Reikwijdte</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Alle systemen, netwerken, applicaties en processen binnen de NIS2-scope zoals vastgesteld in Module 1. Primair gericht op de Top-5 risico's uit Module 2 §8.</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Relatie andere modules</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Input: Module 1 (scope) + Module 2 §8 Top-5 risico's + NIS2 Risicoregister</w:t>
              <w:br/>
              <w:t>Instrument: Beheersmaatregelkaart (ΔW/ΔI per maatregel)</w:t>
              <w:br/>
              <w:t>Output: behandelplan dat residuele risico's naar acceptabel niveau brengt</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Verplichte voorwaarden</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 Module 1 Zelfevaluatie: VOLTOOID</w:t>
              <w:br/>
              <w:t>☐ Module 2 Risicoanalyse: VOLTOOID</w:t>
              <w:br/>
              <w:t>☐ Risicoregister top-5 risico's: GEÏDENTIFICEERD</w:t>
              <w:br/>
              <w:t>☐ Beheersmaatregelkaart: BESCHIKBAAR (Fase 2 Instrument)</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Geschatte invultijd</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±3–4 uur  |  Profiel A: ±4u · Profiel B: ±3u · Profiel C: ±2u</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Eigenaar</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sz w:val="20"/>
              </w:rPr>
            </w:r>
            <w:r>
              <w:rPr>
                <w:rFonts w:ascii="Calibri" w:hAnsi="Calibri"/>
                <w:b/>
                <w:color w:val="713F12"/>
                <w:sz w:val="22"/>
                <w:highlight w:val="yellow"/>
              </w:rPr>
              <w:t>{{NAAM CISO}}  ·  Datum: {{DATUM}}  ·  Versie: 1.0</w:t>
            </w:r>
          </w:p>
        </w:tc>
      </w:tr>
    </w:tbl>
    <w:p>
      <w:pPr>
        <w:spacing w:before="280" w:after="120"/>
        <w:keepNext w:val="1"/>
        <w:pBdr>
          <w:left w:val="single" w:sz="18" w:space="4" w:color="1c1c2e"/>
        </w:pBdr>
        <w:shd w:val="clear" w:color="auto" w:fill="F5F5F5"/>
        <w:ind w:left="180"/>
      </w:pPr>
      <w:r>
        <w:rPr>
          <w:rFonts w:ascii="Calibri" w:hAnsi="Calibri"/>
          <w:b/>
          <w:color w:val="1C1C2E"/>
          <w:sz w:val="20"/>
        </w:rPr>
        <w:t>2 · RACI-tabel — Verantwoordelijkheden</w:t>
      </w:r>
      <w:r>
        <w:rPr>
          <w:rFonts w:ascii="Calibri" w:hAnsi="Calibri"/>
          <w:color w:val="1D4ED8"/>
          <w:sz w:val="16"/>
        </w:rPr>
        <w:t xml:space="preserve">    NIS2 Art. 21(1)  ·  ISO 27001 Cl. A.5.2</w:t>
      </w:r>
    </w:p>
    <w:tbl>
      <w:tblPr>
        <w:tblW w:type="auto" w:w="0"/>
        <w:tblLook w:firstColumn="1" w:firstRow="1" w:lastColumn="0" w:lastRow="0" w:noHBand="0" w:noVBand="1" w:val="04A0"/>
        <w:tblW w:w="8504" w:type="dxa"/>
        <w:jc w:val="left"/>
      </w:tblPr>
      <w:tblGrid>
        <w:gridCol w:w="3204"/>
        <w:gridCol w:w="1200"/>
        <w:gridCol w:w="1200"/>
        <w:gridCol w:w="1200"/>
        <w:gridCol w:w="1700"/>
      </w:tblGrid>
      <w:tblGrid>
        <w:gridCol w:w="1701"/>
        <w:gridCol w:w="1701"/>
        <w:gridCol w:w="1701"/>
        <w:gridCol w:w="1701"/>
        <w:gridCol w:w="1701"/>
      </w:tblGrid>
      <w:tr>
        <w:trPr>
          <w:cantSplit w:val="1"/>
          <w:tblHeader/>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1C1C2E"/>
            <w:tcMar>
              <w:top w:w="70" w:type="dxa"/>
              <w:bottom w:w="70" w:type="dxa"/>
              <w:left w:w="100" w:type="dxa"/>
              <w:right w:w="100" w:type="dxa"/>
            </w:tcMar>
          </w:tcPr>
          <w:p>
            <w:pPr>
              <w:spacing w:after="0"/>
            </w:pPr>
            <w:r>
              <w:rPr>
                <w:rFonts w:ascii="Calibri" w:hAnsi="Calibri"/>
                <w:b/>
                <w:i w:val="0"/>
                <w:color w:val="FFFFFF"/>
                <w:sz w:val="18"/>
              </w:rPr>
              <w:t>Activiteit</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1C1C2E"/>
            <w:tcMar>
              <w:top w:w="70" w:type="dxa"/>
              <w:bottom w:w="70" w:type="dxa"/>
              <w:left w:w="100" w:type="dxa"/>
              <w:right w:w="100" w:type="dxa"/>
            </w:tcMar>
          </w:tcPr>
          <w:p>
            <w:pPr>
              <w:spacing w:after="0"/>
            </w:pPr>
            <w:r>
              <w:rPr>
                <w:rFonts w:ascii="Calibri" w:hAnsi="Calibri"/>
                <w:b/>
                <w:i w:val="0"/>
                <w:color w:val="FFFFFF"/>
                <w:sz w:val="18"/>
              </w:rPr>
              <w:t>Directie</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1C1C2E"/>
            <w:tcMar>
              <w:top w:w="70" w:type="dxa"/>
              <w:bottom w:w="70" w:type="dxa"/>
              <w:left w:w="100" w:type="dxa"/>
              <w:right w:w="100" w:type="dxa"/>
            </w:tcMar>
          </w:tcPr>
          <w:p>
            <w:pPr>
              <w:spacing w:after="0"/>
            </w:pPr>
            <w:r>
              <w:rPr>
                <w:rFonts w:ascii="Calibri" w:hAnsi="Calibri"/>
                <w:b/>
                <w:i w:val="0"/>
                <w:color w:val="FFFFFF"/>
                <w:sz w:val="18"/>
              </w:rPr>
              <w:t>IT-beheerder/</w:t>
              <w:br/>
              <w:t>CISO</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1C1C2E"/>
            <w:tcMar>
              <w:top w:w="70" w:type="dxa"/>
              <w:bottom w:w="70" w:type="dxa"/>
              <w:left w:w="100" w:type="dxa"/>
              <w:right w:w="100" w:type="dxa"/>
            </w:tcMar>
          </w:tcPr>
          <w:p>
            <w:pPr>
              <w:spacing w:after="0"/>
            </w:pPr>
            <w:r>
              <w:rPr>
                <w:rFonts w:ascii="Calibri" w:hAnsi="Calibri"/>
                <w:b/>
                <w:i w:val="0"/>
                <w:color w:val="FFFFFF"/>
                <w:sz w:val="18"/>
              </w:rPr>
              <w:t>Medewerkers</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1C1C2E"/>
            <w:tcMar>
              <w:top w:w="70" w:type="dxa"/>
              <w:bottom w:w="70" w:type="dxa"/>
              <w:left w:w="100" w:type="dxa"/>
              <w:right w:w="100" w:type="dxa"/>
            </w:tcMar>
          </w:tcPr>
          <w:p>
            <w:pPr>
              <w:spacing w:after="0"/>
            </w:pPr>
            <w:r>
              <w:rPr>
                <w:rFonts w:ascii="Calibri" w:hAnsi="Calibri"/>
                <w:b/>
                <w:i w:val="0"/>
                <w:color w:val="FFFFFF"/>
                <w:sz w:val="18"/>
              </w:rPr>
              <w:t>Externe</w:t>
              <w:br/>
              <w:t>partijen</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Vaststellen beveiligingsbeleid</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5E7"/>
            <w:tcMar>
              <w:top w:w="70" w:type="dxa"/>
              <w:bottom w:w="70" w:type="dxa"/>
              <w:left w:w="100" w:type="dxa"/>
              <w:right w:w="100" w:type="dxa"/>
            </w:tcMar>
          </w:tcPr>
          <w:p>
            <w:pPr>
              <w:spacing w:after="0"/>
              <w:jc w:val="center"/>
            </w:pPr>
            <w:r>
              <w:rPr>
                <w:rFonts w:ascii="Calibri" w:hAnsi="Calibri"/>
                <w:b/>
                <w:i w:val="0"/>
                <w:color w:val="374151"/>
                <w:sz w:val="22"/>
              </w:rPr>
              <w:t>A</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EFF6FF"/>
            <w:tcMar>
              <w:top w:w="70" w:type="dxa"/>
              <w:bottom w:w="70" w:type="dxa"/>
              <w:left w:w="100" w:type="dxa"/>
              <w:right w:w="100" w:type="dxa"/>
            </w:tcMar>
          </w:tcPr>
          <w:p>
            <w:pPr>
              <w:spacing w:after="0"/>
              <w:jc w:val="center"/>
            </w:pPr>
            <w:r>
              <w:rPr>
                <w:rFonts w:ascii="Calibri" w:hAnsi="Calibri"/>
                <w:b/>
                <w:i w:val="0"/>
                <w:color w:val="374151"/>
                <w:sz w:val="22"/>
              </w:rPr>
              <w:t>C</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9FAFB"/>
            <w:tcMar>
              <w:top w:w="70" w:type="dxa"/>
              <w:bottom w:w="70" w:type="dxa"/>
              <w:left w:w="100" w:type="dxa"/>
              <w:right w:w="100" w:type="dxa"/>
            </w:tcMar>
          </w:tcPr>
          <w:p>
            <w:pPr>
              <w:spacing w:after="0"/>
              <w:jc w:val="center"/>
            </w:pPr>
            <w:r>
              <w:rPr>
                <w:rFonts w:ascii="Calibri" w:hAnsi="Calibri"/>
                <w:b/>
                <w:i w:val="0"/>
                <w:color w:val="374151"/>
                <w:sz w:val="22"/>
              </w:rPr>
              <w:t>I</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Implementeren technische maatr.</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5E7"/>
            <w:tcMar>
              <w:top w:w="70" w:type="dxa"/>
              <w:bottom w:w="70" w:type="dxa"/>
              <w:left w:w="100" w:type="dxa"/>
              <w:right w:w="100" w:type="dxa"/>
            </w:tcMar>
          </w:tcPr>
          <w:p>
            <w:pPr>
              <w:spacing w:after="0"/>
              <w:jc w:val="center"/>
            </w:pPr>
            <w:r>
              <w:rPr>
                <w:rFonts w:ascii="Calibri" w:hAnsi="Calibri"/>
                <w:b/>
                <w:i w:val="0"/>
                <w:color w:val="374151"/>
                <w:sz w:val="22"/>
              </w:rPr>
              <w:t>A</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jc w:val="center"/>
            </w:pPr>
            <w:r>
              <w:rPr>
                <w:rFonts w:ascii="Calibri" w:hAnsi="Calibri"/>
                <w:b/>
                <w:i w:val="0"/>
                <w:color w:val="374151"/>
                <w:sz w:val="22"/>
              </w:rPr>
              <w:t>I</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EFF6FF"/>
            <w:tcMar>
              <w:top w:w="70" w:type="dxa"/>
              <w:bottom w:w="70" w:type="dxa"/>
              <w:left w:w="100" w:type="dxa"/>
              <w:right w:w="100" w:type="dxa"/>
            </w:tcMar>
          </w:tcPr>
          <w:p>
            <w:pPr>
              <w:spacing w:after="0"/>
              <w:jc w:val="center"/>
            </w:pPr>
            <w:r>
              <w:rPr>
                <w:rFonts w:ascii="Calibri" w:hAnsi="Calibri"/>
                <w:b/>
                <w:i w:val="0"/>
                <w:color w:val="374151"/>
                <w:sz w:val="22"/>
              </w:rPr>
              <w:t>C</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Security awareness training</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5E7"/>
            <w:tcMar>
              <w:top w:w="70" w:type="dxa"/>
              <w:bottom w:w="70" w:type="dxa"/>
              <w:left w:w="100" w:type="dxa"/>
              <w:right w:w="100" w:type="dxa"/>
            </w:tcMar>
          </w:tcPr>
          <w:p>
            <w:pPr>
              <w:spacing w:after="0"/>
              <w:jc w:val="center"/>
            </w:pPr>
            <w:r>
              <w:rPr>
                <w:rFonts w:ascii="Calibri" w:hAnsi="Calibri"/>
                <w:b/>
                <w:i w:val="0"/>
                <w:color w:val="374151"/>
                <w:sz w:val="22"/>
              </w:rPr>
              <w:t>A</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9FAFB"/>
            <w:tcMar>
              <w:top w:w="70" w:type="dxa"/>
              <w:bottom w:w="70" w:type="dxa"/>
              <w:left w:w="100" w:type="dxa"/>
              <w:right w:w="100" w:type="dxa"/>
            </w:tcMar>
          </w:tcPr>
          <w:p>
            <w:pPr>
              <w:spacing w:after="0"/>
              <w:jc w:val="center"/>
            </w:pPr>
            <w:r>
              <w:rPr>
                <w:rFonts w:ascii="Calibri" w:hAnsi="Calibri"/>
                <w:b/>
                <w:i w:val="0"/>
                <w:color w:val="374151"/>
                <w:sz w:val="22"/>
              </w:rPr>
              <w:t>I</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Leveranciersbeheer &amp; beoordeling</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5E7"/>
            <w:tcMar>
              <w:top w:w="70" w:type="dxa"/>
              <w:bottom w:w="70" w:type="dxa"/>
              <w:left w:w="100" w:type="dxa"/>
              <w:right w:w="100" w:type="dxa"/>
            </w:tcMar>
          </w:tcPr>
          <w:p>
            <w:pPr>
              <w:spacing w:after="0"/>
              <w:jc w:val="center"/>
            </w:pPr>
            <w:r>
              <w:rPr>
                <w:rFonts w:ascii="Calibri" w:hAnsi="Calibri"/>
                <w:b/>
                <w:i w:val="0"/>
                <w:color w:val="374151"/>
                <w:sz w:val="22"/>
              </w:rPr>
              <w:t>A</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jc w:val="center"/>
            </w:pPr>
            <w:r>
              <w:rPr>
                <w:rFonts w:ascii="Calibri" w:hAnsi="Calibri"/>
                <w:b/>
                <w:i w:val="0"/>
                <w:color w:val="374151"/>
                <w:sz w:val="22"/>
              </w:rPr>
              <w:t>I</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Jaarlijkse review maatregelen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5E7"/>
            <w:tcMar>
              <w:top w:w="70" w:type="dxa"/>
              <w:bottom w:w="70" w:type="dxa"/>
              <w:left w:w="100" w:type="dxa"/>
              <w:right w:w="100" w:type="dxa"/>
            </w:tcMar>
          </w:tcPr>
          <w:p>
            <w:pPr>
              <w:spacing w:after="0"/>
              <w:jc w:val="center"/>
            </w:pPr>
            <w:r>
              <w:rPr>
                <w:rFonts w:ascii="Calibri" w:hAnsi="Calibri"/>
                <w:b/>
                <w:i w:val="0"/>
                <w:color w:val="374151"/>
                <w:sz w:val="22"/>
              </w:rPr>
              <w:t>A</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EFF6FF"/>
            <w:tcMar>
              <w:top w:w="70" w:type="dxa"/>
              <w:bottom w:w="70" w:type="dxa"/>
              <w:left w:w="100" w:type="dxa"/>
              <w:right w:w="100" w:type="dxa"/>
            </w:tcMar>
          </w:tcPr>
          <w:p>
            <w:pPr>
              <w:spacing w:after="0"/>
              <w:jc w:val="center"/>
            </w:pPr>
            <w:r>
              <w:rPr>
                <w:rFonts w:ascii="Calibri" w:hAnsi="Calibri"/>
                <w:b/>
                <w:i w:val="0"/>
                <w:color w:val="374151"/>
                <w:sz w:val="22"/>
              </w:rPr>
              <w:t>C</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9FAFB"/>
            <w:tcMar>
              <w:top w:w="70" w:type="dxa"/>
              <w:bottom w:w="70" w:type="dxa"/>
              <w:left w:w="100" w:type="dxa"/>
              <w:right w:w="100" w:type="dxa"/>
            </w:tcMar>
          </w:tcPr>
          <w:p>
            <w:pPr>
              <w:spacing w:after="0"/>
              <w:jc w:val="center"/>
            </w:pPr>
            <w:r>
              <w:rPr>
                <w:rFonts w:ascii="Calibri" w:hAnsi="Calibri"/>
                <w:b/>
                <w:i w:val="0"/>
                <w:color w:val="374151"/>
                <w:sz w:val="22"/>
              </w:rPr>
              <w:t>I</w:t>
            </w:r>
          </w:p>
        </w:tc>
      </w:tr>
    </w:tbl>
    <w:p>
      <w:pPr>
        <w:spacing w:before="0" w:after="80"/>
      </w:pPr>
      <w:r>
        <w:rPr>
          <w:rFonts w:ascii="Calibri" w:hAnsi="Calibri"/>
          <w:b w:val="0"/>
          <w:i/>
          <w:color w:val="6B7280"/>
          <w:sz w:val="18"/>
        </w:rPr>
        <w:t>R = Responsible (uitvoerend)  ·  A = Accountable (eindverantwoordelijk)  ·  C = Consulted (geraadpleegd)  ·  I = Informed (geïnformeerd)</w:t>
      </w:r>
    </w:p>
    <w:p>
      <w:pPr>
        <w:spacing w:before="280" w:after="120"/>
        <w:keepNext w:val="1"/>
        <w:pBdr>
          <w:left w:val="single" w:sz="18" w:space="4" w:color="1c1c2e"/>
        </w:pBdr>
        <w:shd w:val="clear" w:color="auto" w:fill="F5F5F5"/>
        <w:ind w:left="180"/>
      </w:pPr>
      <w:r>
        <w:rPr>
          <w:rFonts w:ascii="Calibri" w:hAnsi="Calibri"/>
          <w:b/>
          <w:color w:val="1C1C2E"/>
          <w:sz w:val="20"/>
        </w:rPr>
        <w:t>3 · Beveiligingsmaatregelenprogramma</w:t>
      </w:r>
      <w:r>
        <w:rPr>
          <w:rFonts w:ascii="Calibri" w:hAnsi="Calibri"/>
          <w:color w:val="1D4ED8"/>
          <w:sz w:val="16"/>
        </w:rPr>
        <w:t xml:space="preserve">    NIS2 Art. 21(2)(b)-(j)  ·  ISO 27001 Cl. Bijlage A</w:t>
      </w:r>
    </w:p>
    <w:p>
      <w:pPr>
        <w:spacing w:before="0" w:after="160"/>
      </w:pPr>
      <w:r>
        <w:rPr>
          <w:rFonts w:ascii="Calibri" w:hAnsi="Calibri"/>
          <w:b w:val="0"/>
          <w:i w:val="0"/>
          <w:color w:val="374151"/>
          <w:sz w:val="22"/>
        </w:rPr>
        <w:t>De onderstaande maatregelen zijn geselecteerd op basis van de Top-5 risico's uit Module 2 §8 en de Beheersmaatregelkaart (Fase 2 Instrument). Vul de status en tijdlijn in op basis van uw huidige situatie.</w:t>
      </w:r>
    </w:p>
    <w:p>
      <w:pPr>
        <w:spacing w:before="280" w:after="120"/>
        <w:keepNext w:val="1"/>
        <w:pBdr>
          <w:left w:val="single" w:sz="18" w:space="4" w:color="1c1c2e"/>
        </w:pBdr>
        <w:shd w:val="clear" w:color="auto" w:fill="F5F5F5"/>
        <w:ind w:left="180"/>
      </w:pPr>
      <w:r>
        <w:rPr>
          <w:rFonts w:ascii="Calibri" w:hAnsi="Calibri"/>
          <w:b/>
          <w:color w:val="1C1C2E"/>
          <w:sz w:val="20"/>
        </w:rPr>
        <w:t>3a · Technische maatregelen</w:t>
      </w:r>
      <w:r>
        <w:rPr>
          <w:rFonts w:ascii="Calibri" w:hAnsi="Calibri"/>
          <w:color w:val="1D4ED8"/>
          <w:sz w:val="16"/>
        </w:rPr>
        <w:t xml:space="preserve">    NIS2 Art. 21(2)(e)(h)(j)  ·  ISO 27001 Cl. A.8</w:t>
      </w:r>
    </w:p>
    <w:tbl>
      <w:tblPr>
        <w:tblW w:type="auto" w:w="0"/>
        <w:tblLook w:firstColumn="1" w:firstRow="1" w:lastColumn="0" w:lastRow="0" w:noHBand="0" w:noVBand="1" w:val="04A0"/>
        <w:tblW w:w="8504" w:type="dxa"/>
        <w:jc w:val="left"/>
      </w:tblPr>
      <w:tblGrid>
        <w:gridCol w:w="3000"/>
        <w:gridCol w:w="1200"/>
        <w:gridCol w:w="1504"/>
        <w:gridCol w:w="1400"/>
        <w:gridCol w:w="1400"/>
      </w:tblGrid>
      <w:tblGrid>
        <w:gridCol w:w="1701"/>
        <w:gridCol w:w="1701"/>
        <w:gridCol w:w="1701"/>
        <w:gridCol w:w="1701"/>
        <w:gridCol w:w="1701"/>
      </w:tblGrid>
      <w:tr>
        <w:trPr>
          <w:cantSplit w:val="1"/>
          <w:tblHeader/>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1E3A6E"/>
            <w:tcMar>
              <w:top w:w="70" w:type="dxa"/>
              <w:bottom w:w="70" w:type="dxa"/>
              <w:left w:w="100" w:type="dxa"/>
              <w:right w:w="100" w:type="dxa"/>
            </w:tcMar>
          </w:tcPr>
          <w:p>
            <w:pPr>
              <w:spacing w:after="0"/>
            </w:pPr>
            <w:r>
              <w:rPr>
                <w:rFonts w:ascii="Calibri" w:hAnsi="Calibri"/>
                <w:b/>
                <w:i w:val="0"/>
                <w:color w:val="FFFFFF"/>
                <w:sz w:val="18"/>
              </w:rPr>
              <w:t>Maatregel</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1E3A6E"/>
            <w:tcMar>
              <w:top w:w="70" w:type="dxa"/>
              <w:bottom w:w="70" w:type="dxa"/>
              <w:left w:w="100" w:type="dxa"/>
              <w:right w:w="100" w:type="dxa"/>
            </w:tcMar>
          </w:tcPr>
          <w:p>
            <w:pPr>
              <w:spacing w:after="0"/>
            </w:pPr>
            <w:r>
              <w:rPr>
                <w:rFonts w:ascii="Calibri" w:hAnsi="Calibri"/>
                <w:b/>
                <w:i w:val="0"/>
                <w:color w:val="FFFFFF"/>
                <w:sz w:val="18"/>
              </w:rPr>
              <w:t>NIS2 Art.</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1E3A6E"/>
            <w:tcMar>
              <w:top w:w="70" w:type="dxa"/>
              <w:bottom w:w="70" w:type="dxa"/>
              <w:left w:w="100" w:type="dxa"/>
              <w:right w:w="100" w:type="dxa"/>
            </w:tcMar>
          </w:tcPr>
          <w:p>
            <w:pPr>
              <w:spacing w:after="0"/>
            </w:pPr>
            <w:r>
              <w:rPr>
                <w:rFonts w:ascii="Calibri" w:hAnsi="Calibri"/>
                <w:b/>
                <w:i w:val="0"/>
                <w:color w:val="FFFFFF"/>
                <w:sz w:val="18"/>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1E3A6E"/>
            <w:tcMar>
              <w:top w:w="70" w:type="dxa"/>
              <w:bottom w:w="70" w:type="dxa"/>
              <w:left w:w="100" w:type="dxa"/>
              <w:right w:w="100" w:type="dxa"/>
            </w:tcMar>
          </w:tcPr>
          <w:p>
            <w:pPr>
              <w:spacing w:after="0"/>
            </w:pPr>
            <w:r>
              <w:rPr>
                <w:rFonts w:ascii="Calibri" w:hAnsi="Calibri"/>
                <w:b/>
                <w:i w:val="0"/>
                <w:color w:val="FFFFFF"/>
                <w:sz w:val="18"/>
              </w:rPr>
              <w:t>Verantwoordelijke</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1E3A6E"/>
            <w:tcMar>
              <w:top w:w="70" w:type="dxa"/>
              <w:bottom w:w="70" w:type="dxa"/>
              <w:left w:w="100" w:type="dxa"/>
              <w:right w:w="100" w:type="dxa"/>
            </w:tcMar>
          </w:tcPr>
          <w:p>
            <w:pPr>
              <w:spacing w:after="0"/>
            </w:pPr>
            <w:r>
              <w:rPr>
                <w:rFonts w:ascii="Calibri" w:hAnsi="Calibri"/>
                <w:b/>
                <w:i w:val="0"/>
                <w:color w:val="FFFFFF"/>
                <w:sz w:val="18"/>
              </w:rPr>
              <w:t>Doeldatum</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Multi-factor authenticatie (MFA) op alle kritieke systemen en accounts (minimum: TOTP-authenticator-app; SMS-codes zijn onvoldoende — gevoelig voor SIM-swapping)</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pPr>
            <w:r>
              <w:rPr>
                <w:rFonts w:ascii="Calibri" w:hAnsi="Calibri"/>
                <w:b w:val="0"/>
                <w:i/>
                <w:color w:val="1D4ED8"/>
                <w:sz w:val="18"/>
              </w:rPr>
              <w:t>21(2)(j)</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{{NAAM}}</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Endpoint Detection &amp; Response (EDR) op servers en werkstations</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pPr>
            <w:r>
              <w:rPr>
                <w:rFonts w:ascii="Calibri" w:hAnsi="Calibri"/>
                <w:b w:val="0"/>
                <w:i/>
                <w:color w:val="1D4ED8"/>
                <w:sz w:val="18"/>
              </w:rPr>
              <w:t>21(2)(e)</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{{NAAM}}</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Patch management: kritieke patches &lt;30 dagen, overige &lt;90 dagen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pPr>
            <w:r>
              <w:rPr>
                <w:rFonts w:ascii="Calibri" w:hAnsi="Calibri"/>
                <w:b w:val="0"/>
                <w:i/>
                <w:color w:val="1D4ED8"/>
                <w:sz w:val="18"/>
              </w:rPr>
              <w:t>21(2)(e)</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{{NAAM}}</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Netwerksegmentatie: kantoor / servers / OT gescheiden per VLAN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pPr>
            <w:r>
              <w:rPr>
                <w:rFonts w:ascii="Calibri" w:hAnsi="Calibri"/>
                <w:b w:val="0"/>
                <w:i/>
                <w:color w:val="1D4ED8"/>
                <w:sz w:val="18"/>
              </w:rPr>
              <w:t>21(2)(e)</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{{NAAM}}</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Backup 3-2-1 strategie + maandelijkse hersteltest gedocumenteerd</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pPr>
            <w:r>
              <w:rPr>
                <w:rFonts w:ascii="Calibri" w:hAnsi="Calibri"/>
                <w:b w:val="0"/>
                <w:i/>
                <w:color w:val="1D4ED8"/>
                <w:sz w:val="18"/>
              </w:rPr>
              <w:t>21(2)(c)</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{{NAAM}}</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Email beveiliging: DMARC + DKIM + SPF geconfigureerd</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pPr>
            <w:r>
              <w:rPr>
                <w:rFonts w:ascii="Calibri" w:hAnsi="Calibri"/>
                <w:b w:val="0"/>
                <w:i/>
                <w:color w:val="1D4ED8"/>
                <w:sz w:val="18"/>
              </w:rPr>
              <w:t>21(2)(e)</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{{NAAM}}</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Encryptie van gevoelige data in rust (AES-256) en transit (TLS 1.3)</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pPr>
            <w:r>
              <w:rPr>
                <w:rFonts w:ascii="Calibri" w:hAnsi="Calibri"/>
                <w:b w:val="0"/>
                <w:i/>
                <w:color w:val="1D4ED8"/>
                <w:sz w:val="18"/>
              </w:rPr>
              <w:t>21(2)(h)</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{{NAAM}}</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Logging en monitoring: SIEM of centrale log-opslag met 12 maanden retentie</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pPr>
            <w:r>
              <w:rPr>
                <w:rFonts w:ascii="Calibri" w:hAnsi="Calibri"/>
                <w:b w:val="0"/>
                <w:i/>
                <w:color w:val="1D4ED8"/>
                <w:sz w:val="18"/>
              </w:rPr>
              <w:t>21(2)(f)</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{{NAAM}}</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w:t>
            </w:r>
          </w:p>
        </w:tc>
      </w:tr>
    </w:tbl>
    <w:p>
      <w:pPr>
        <w:spacing w:before="280" w:after="120"/>
        <w:keepNext w:val="1"/>
        <w:pBdr>
          <w:left w:val="single" w:sz="18" w:space="4" w:color="1c1c2e"/>
        </w:pBdr>
        <w:shd w:val="clear" w:color="auto" w:fill="F5F5F5"/>
        <w:ind w:left="180"/>
      </w:pPr>
      <w:r>
        <w:rPr>
          <w:rFonts w:ascii="Calibri" w:hAnsi="Calibri"/>
          <w:b/>
          <w:color w:val="1C1C2E"/>
          <w:sz w:val="20"/>
        </w:rPr>
        <w:t>3b · Organisatorische maatregelen</w:t>
      </w:r>
      <w:r>
        <w:rPr>
          <w:rFonts w:ascii="Calibri" w:hAnsi="Calibri"/>
          <w:color w:val="1D4ED8"/>
          <w:sz w:val="16"/>
        </w:rPr>
        <w:t xml:space="preserve">    NIS2 Art. 21(2)(g)(i)  ·  ISO 27001 Cl. A.5, A.6</w:t>
      </w:r>
    </w:p>
    <w:tbl>
      <w:tblPr>
        <w:tblW w:type="auto" w:w="0"/>
        <w:tblLook w:firstColumn="1" w:firstRow="1" w:lastColumn="0" w:lastRow="0" w:noHBand="0" w:noVBand="1" w:val="04A0"/>
        <w:tblW w:w="8504" w:type="dxa"/>
        <w:jc w:val="left"/>
      </w:tblPr>
      <w:tblGrid>
        <w:gridCol w:w="3000"/>
        <w:gridCol w:w="1200"/>
        <w:gridCol w:w="1504"/>
        <w:gridCol w:w="1400"/>
        <w:gridCol w:w="1400"/>
      </w:tblGrid>
      <w:tblGrid>
        <w:gridCol w:w="1701"/>
        <w:gridCol w:w="1701"/>
        <w:gridCol w:w="1701"/>
        <w:gridCol w:w="1701"/>
        <w:gridCol w:w="1701"/>
      </w:tblGrid>
      <w:tr>
        <w:trPr>
          <w:cantSplit w:val="1"/>
          <w:tblHeader/>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14532D"/>
            <w:tcMar>
              <w:top w:w="70" w:type="dxa"/>
              <w:bottom w:w="70" w:type="dxa"/>
              <w:left w:w="100" w:type="dxa"/>
              <w:right w:w="100" w:type="dxa"/>
            </w:tcMar>
          </w:tcPr>
          <w:p>
            <w:pPr>
              <w:spacing w:after="0"/>
            </w:pPr>
            <w:r>
              <w:rPr>
                <w:rFonts w:ascii="Calibri" w:hAnsi="Calibri"/>
                <w:b/>
                <w:i w:val="0"/>
                <w:color w:val="FFFFFF"/>
                <w:sz w:val="18"/>
              </w:rPr>
              <w:t>Maatregel</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14532D"/>
            <w:tcMar>
              <w:top w:w="70" w:type="dxa"/>
              <w:bottom w:w="70" w:type="dxa"/>
              <w:left w:w="100" w:type="dxa"/>
              <w:right w:w="100" w:type="dxa"/>
            </w:tcMar>
          </w:tcPr>
          <w:p>
            <w:pPr>
              <w:spacing w:after="0"/>
            </w:pPr>
            <w:r>
              <w:rPr>
                <w:rFonts w:ascii="Calibri" w:hAnsi="Calibri"/>
                <w:b/>
                <w:i w:val="0"/>
                <w:color w:val="FFFFFF"/>
                <w:sz w:val="18"/>
              </w:rPr>
              <w:t>NIS2 Art.</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14532D"/>
            <w:tcMar>
              <w:top w:w="70" w:type="dxa"/>
              <w:bottom w:w="70" w:type="dxa"/>
              <w:left w:w="100" w:type="dxa"/>
              <w:right w:w="100" w:type="dxa"/>
            </w:tcMar>
          </w:tcPr>
          <w:p>
            <w:pPr>
              <w:spacing w:after="0"/>
            </w:pPr>
            <w:r>
              <w:rPr>
                <w:rFonts w:ascii="Calibri" w:hAnsi="Calibri"/>
                <w:b/>
                <w:i w:val="0"/>
                <w:color w:val="FFFFFF"/>
                <w:sz w:val="18"/>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14532D"/>
            <w:tcMar>
              <w:top w:w="70" w:type="dxa"/>
              <w:bottom w:w="70" w:type="dxa"/>
              <w:left w:w="100" w:type="dxa"/>
              <w:right w:w="100" w:type="dxa"/>
            </w:tcMar>
          </w:tcPr>
          <w:p>
            <w:pPr>
              <w:spacing w:after="0"/>
            </w:pPr>
            <w:r>
              <w:rPr>
                <w:rFonts w:ascii="Calibri" w:hAnsi="Calibri"/>
                <w:b/>
                <w:i w:val="0"/>
                <w:color w:val="FFFFFF"/>
                <w:sz w:val="18"/>
              </w:rPr>
              <w:t>Verantwoordelijke</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14532D"/>
            <w:tcMar>
              <w:top w:w="70" w:type="dxa"/>
              <w:bottom w:w="70" w:type="dxa"/>
              <w:left w:w="100" w:type="dxa"/>
              <w:right w:w="100" w:type="dxa"/>
            </w:tcMar>
          </w:tcPr>
          <w:p>
            <w:pPr>
              <w:spacing w:after="0"/>
            </w:pPr>
            <w:r>
              <w:rPr>
                <w:rFonts w:ascii="Calibri" w:hAnsi="Calibri"/>
                <w:b/>
                <w:i w:val="0"/>
                <w:color w:val="FFFFFF"/>
                <w:sz w:val="18"/>
              </w:rPr>
              <w:t>Doeldatum</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Security awareness training jaarlijks + phishing-simulatie per kwartaal</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pPr>
            <w:r>
              <w:rPr>
                <w:rFonts w:ascii="Calibri" w:hAnsi="Calibri"/>
                <w:b w:val="0"/>
                <w:i/>
                <w:color w:val="1D4ED8"/>
                <w:sz w:val="18"/>
              </w:rPr>
              <w:t>21(2)(g)</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{{NAAM}}</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Incidentrespons plan gedocumenteerd + jaarlijkse tabletop oefening</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pPr>
            <w:r>
              <w:rPr>
                <w:rFonts w:ascii="Calibri" w:hAnsi="Calibri"/>
                <w:b w:val="0"/>
                <w:i/>
                <w:color w:val="1D4ED8"/>
                <w:sz w:val="18"/>
              </w:rPr>
              <w:t>21(2)(b)</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{{NAAM}}</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Toegangsreview: kritieke rechten kwartaallijks beoordeeld</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pPr>
            <w:r>
              <w:rPr>
                <w:rFonts w:ascii="Calibri" w:hAnsi="Calibri"/>
                <w:b w:val="0"/>
                <w:i/>
                <w:color w:val="1D4ED8"/>
                <w:sz w:val="18"/>
              </w:rPr>
              <w:t>21(2)(i)</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{{NAAM}}</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Leveranciersbeoordeling: jaarlijks beveiligingsvragenlijst kritieke partners</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pPr>
            <w:r>
              <w:rPr>
                <w:rFonts w:ascii="Calibri" w:hAnsi="Calibri"/>
                <w:b w:val="0"/>
                <w:i/>
                <w:color w:val="1D4ED8"/>
                <w:sz w:val="18"/>
              </w:rPr>
              <w:t>21(2)(d)</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{{NAAM}}</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Beveiligingsbeleid gedocumenteerd, goedgekeurd door directie, jaarlijks herzien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pPr>
            <w:r>
              <w:rPr>
                <w:rFonts w:ascii="Calibri" w:hAnsi="Calibri"/>
                <w:b w:val="0"/>
                <w:i/>
                <w:color w:val="1D4ED8"/>
                <w:sz w:val="18"/>
              </w:rPr>
              <w:t>21(2)(a)</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{{NAAM}}</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Change management: vier-ogen principe bij wijzigingen productiesystemen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pPr>
            <w:r>
              <w:rPr>
                <w:rFonts w:ascii="Calibri" w:hAnsi="Calibri"/>
                <w:b w:val="0"/>
                <w:i/>
                <w:color w:val="1D4ED8"/>
                <w:sz w:val="18"/>
              </w:rPr>
              <w:t>21(2)(f)</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{{NAAM}}</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w:t>
            </w:r>
          </w:p>
        </w:tc>
      </w:tr>
    </w:tbl>
    <w:p>
      <w:pPr>
        <w:spacing w:before="280" w:after="120"/>
        <w:keepNext w:val="1"/>
        <w:pBdr>
          <w:left w:val="single" w:sz="18" w:space="4" w:color="1c1c2e"/>
        </w:pBdr>
        <w:shd w:val="clear" w:color="auto" w:fill="F5F5F5"/>
        <w:ind w:left="180"/>
      </w:pPr>
      <w:r>
        <w:rPr>
          <w:rFonts w:ascii="Calibri" w:hAnsi="Calibri"/>
          <w:b/>
          <w:color w:val="1C1C2E"/>
          <w:sz w:val="20"/>
        </w:rPr>
        <w:t>3c · Implementatieplan &amp; Prioritering</w:t>
      </w:r>
      <w:r>
        <w:rPr>
          <w:rFonts w:ascii="Calibri" w:hAnsi="Calibri"/>
          <w:color w:val="1D4ED8"/>
          <w:sz w:val="16"/>
        </w:rPr>
        <w:t xml:space="preserve">    NIS2 Art. 21(2)  ·  ISO 27001 Cl. A.5.1</w:t>
      </w:r>
    </w:p>
    <w:p>
      <w:pPr>
        <w:spacing w:before="0" w:after="120"/>
      </w:pPr>
      <w:r>
        <w:rPr>
          <w:rFonts w:ascii="Calibri" w:hAnsi="Calibri"/>
          <w:b w:val="0"/>
          <w:i/>
          <w:color w:val="6B7280"/>
          <w:sz w:val="20"/>
        </w:rPr>
        <w:t>Start met Quick Wins (Laag implementatiemoeite, hoge risicoreductie). Gebruik de ΔW/ΔI waarden uit de Beheersmaatregelkaart om de impact op het Risicoregister te berekenen.</w:t>
      </w:r>
    </w:p>
    <w:tbl>
      <w:tblPr>
        <w:tblW w:type="auto" w:w="0"/>
        <w:tblLook w:firstColumn="1" w:firstRow="1" w:lastColumn="0" w:lastRow="0" w:noHBand="0" w:noVBand="1" w:val="04A0"/>
        <w:tblW w:w="8504" w:type="dxa"/>
        <w:jc w:val="left"/>
      </w:tblPr>
      <w:tblGrid>
        <w:gridCol w:w="3200"/>
        <w:gridCol w:w="1200"/>
        <w:gridCol w:w="1200"/>
        <w:gridCol w:w="1504"/>
        <w:gridCol w:w="1400"/>
      </w:tblGrid>
      <w:tblGrid>
        <w:gridCol w:w="1701"/>
        <w:gridCol w:w="1701"/>
        <w:gridCol w:w="1701"/>
        <w:gridCol w:w="1701"/>
        <w:gridCol w:w="1701"/>
      </w:tblGrid>
      <w:tr>
        <w:trPr>
          <w:cantSplit w:val="1"/>
          <w:tblHeader/>
        </w:trPr>
        <w:tc>
          <w:tcPr>
            <w:tcW w:type="dxa" w:w="1701"/>
            <w:tcBorders>
              <w:top w:val="single" w:sz="4" w:space="0" w:color="E5E7EB"/>
              <w:bottom w:val="single" w:sz="4" w:space="0" w:color="E5E7EB"/>
              <w:left w:val="single" w:sz="4" w:space="0" w:color="E5E7EB"/>
              <w:right w:val="single" w:sz="4" w:space="0" w:color="E5E7EB"/>
            </w:tcBorders>
            <w:tcW w:w="3200" w:type="dxa"/>
            <w:shd w:val="clear" w:color="auto" w:fill="374151"/>
            <w:tcMar>
              <w:top w:w="70" w:type="dxa"/>
              <w:bottom w:w="70" w:type="dxa"/>
              <w:left w:w="100" w:type="dxa"/>
              <w:right w:w="100" w:type="dxa"/>
            </w:tcMar>
          </w:tcPr>
          <w:p>
            <w:pPr>
              <w:spacing w:after="0"/>
            </w:pPr>
            <w:r>
              <w:rPr>
                <w:rFonts w:ascii="Calibri" w:hAnsi="Calibri"/>
                <w:b/>
                <w:i w:val="0"/>
                <w:color w:val="FFFFFF"/>
                <w:sz w:val="18"/>
              </w:rPr>
              <w:t>Maatregel (prioriteit volgorde)</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374151"/>
            <w:tcMar>
              <w:top w:w="70" w:type="dxa"/>
              <w:bottom w:w="70" w:type="dxa"/>
              <w:left w:w="100" w:type="dxa"/>
              <w:right w:w="100" w:type="dxa"/>
            </w:tcMar>
          </w:tcPr>
          <w:p>
            <w:pPr>
              <w:spacing w:after="0"/>
            </w:pPr>
            <w:r>
              <w:rPr>
                <w:rFonts w:ascii="Calibri" w:hAnsi="Calibri"/>
                <w:b/>
                <w:i w:val="0"/>
                <w:color w:val="FFFFFF"/>
                <w:sz w:val="18"/>
              </w:rPr>
              <w:t>ΔW</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374151"/>
            <w:tcMar>
              <w:top w:w="70" w:type="dxa"/>
              <w:bottom w:w="70" w:type="dxa"/>
              <w:left w:w="100" w:type="dxa"/>
              <w:right w:w="100" w:type="dxa"/>
            </w:tcMar>
          </w:tcPr>
          <w:p>
            <w:pPr>
              <w:spacing w:after="0"/>
            </w:pPr>
            <w:r>
              <w:rPr>
                <w:rFonts w:ascii="Calibri" w:hAnsi="Calibri"/>
                <w:b/>
                <w:i w:val="0"/>
                <w:color w:val="FFFFFF"/>
                <w:sz w:val="18"/>
              </w:rPr>
              <w:t>ΔI</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374151"/>
            <w:tcMar>
              <w:top w:w="70" w:type="dxa"/>
              <w:bottom w:w="70" w:type="dxa"/>
              <w:left w:w="100" w:type="dxa"/>
              <w:right w:w="100" w:type="dxa"/>
            </w:tcMar>
          </w:tcPr>
          <w:p>
            <w:pPr>
              <w:spacing w:after="0"/>
            </w:pPr>
            <w:r>
              <w:rPr>
                <w:rFonts w:ascii="Calibri" w:hAnsi="Calibri"/>
                <w:b/>
                <w:i w:val="0"/>
                <w:color w:val="FFFFFF"/>
                <w:sz w:val="18"/>
              </w:rPr>
              <w:t>Implementatie-moeite</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374151"/>
            <w:tcMar>
              <w:top w:w="70" w:type="dxa"/>
              <w:bottom w:w="70" w:type="dxa"/>
              <w:left w:w="100" w:type="dxa"/>
              <w:right w:w="100" w:type="dxa"/>
            </w:tcMar>
          </w:tcPr>
          <w:p>
            <w:pPr>
              <w:spacing w:after="0"/>
            </w:pPr>
            <w:r>
              <w:rPr>
                <w:rFonts w:ascii="Calibri" w:hAnsi="Calibri"/>
                <w:b/>
                <w:i w:val="0"/>
                <w:color w:val="FFFFFF"/>
                <w:sz w:val="18"/>
              </w:rPr>
              <w:t>Status</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Multi-factor authenticatie (MFA)</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14532D"/>
                <w:sz w:val="20"/>
              </w:rPr>
              <w:t>–2</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14532D"/>
                <w:sz w:val="20"/>
              </w:rPr>
              <w:t>0</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EFF6FF"/>
            <w:tcMar>
              <w:top w:w="70" w:type="dxa"/>
              <w:bottom w:w="70" w:type="dxa"/>
              <w:left w:w="100" w:type="dxa"/>
              <w:right w:w="100" w:type="dxa"/>
            </w:tcMar>
          </w:tcPr>
          <w:p>
            <w:pPr>
              <w:spacing w:after="0"/>
              <w:jc w:val="center"/>
            </w:pPr>
            <w:r>
              <w:rPr>
                <w:rFonts w:ascii="Calibri" w:hAnsi="Calibri"/>
                <w:b/>
                <w:i w:val="0"/>
                <w:color w:val="14532D"/>
                <w:sz w:val="20"/>
              </w:rPr>
              <w:t>Laag</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jc w:val="center"/>
            </w:pPr>
            <w:r>
              <w:rPr>
                <w:rFonts w:ascii="Calibri" w:hAnsi="Calibri"/>
                <w:b/>
                <w:color w:val="713F12"/>
                <w:sz w:val="22"/>
                <w:highlight w:val="yellow"/>
              </w:rPr>
              <w:t>{{STATUS}}</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Patch management &lt;30 dagen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14532D"/>
                <w:sz w:val="20"/>
              </w:rPr>
              <w:t>–2</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14532D"/>
                <w:sz w:val="20"/>
              </w:rPr>
              <w:t>0</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EFF6FF"/>
            <w:tcMar>
              <w:top w:w="70" w:type="dxa"/>
              <w:bottom w:w="70" w:type="dxa"/>
              <w:left w:w="100" w:type="dxa"/>
              <w:right w:w="100" w:type="dxa"/>
            </w:tcMar>
          </w:tcPr>
          <w:p>
            <w:pPr>
              <w:spacing w:after="0"/>
              <w:jc w:val="center"/>
            </w:pPr>
            <w:r>
              <w:rPr>
                <w:rFonts w:ascii="Calibri" w:hAnsi="Calibri"/>
                <w:b/>
                <w:i w:val="0"/>
                <w:color w:val="14532D"/>
                <w:sz w:val="20"/>
              </w:rPr>
              <w:t>Laag</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jc w:val="center"/>
            </w:pPr>
            <w:r>
              <w:rPr>
                <w:rFonts w:ascii="Calibri" w:hAnsi="Calibri"/>
                <w:b/>
                <w:color w:val="713F12"/>
                <w:sz w:val="22"/>
                <w:highlight w:val="yellow"/>
              </w:rPr>
              <w:t>{{STATUS}}</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Backup 3-2-1 + maandelijkse hersteltest</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14532D"/>
                <w:sz w:val="20"/>
              </w:rPr>
              <w:t>0</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14532D"/>
                <w:sz w:val="20"/>
              </w:rPr>
              <w:t>–2</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EFF6FF"/>
            <w:tcMar>
              <w:top w:w="70" w:type="dxa"/>
              <w:bottom w:w="70" w:type="dxa"/>
              <w:left w:w="100" w:type="dxa"/>
              <w:right w:w="100" w:type="dxa"/>
            </w:tcMar>
          </w:tcPr>
          <w:p>
            <w:pPr>
              <w:spacing w:after="0"/>
              <w:jc w:val="center"/>
            </w:pPr>
            <w:r>
              <w:rPr>
                <w:rFonts w:ascii="Calibri" w:hAnsi="Calibri"/>
                <w:b/>
                <w:i w:val="0"/>
                <w:color w:val="14532D"/>
                <w:sz w:val="20"/>
              </w:rPr>
              <w:t>Laag</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jc w:val="center"/>
            </w:pPr>
            <w:r>
              <w:rPr>
                <w:rFonts w:ascii="Calibri" w:hAnsi="Calibri"/>
                <w:b/>
                <w:color w:val="713F12"/>
                <w:sz w:val="22"/>
                <w:highlight w:val="yellow"/>
              </w:rPr>
              <w:t>{{STATUS}}</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Email beveiliging (DMARC/DKIM/SPF)</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14532D"/>
                <w:sz w:val="20"/>
              </w:rPr>
              <w:t>–1</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14532D"/>
                <w:sz w:val="20"/>
              </w:rPr>
              <w:t>0</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EFF6FF"/>
            <w:tcMar>
              <w:top w:w="70" w:type="dxa"/>
              <w:bottom w:w="70" w:type="dxa"/>
              <w:left w:w="100" w:type="dxa"/>
              <w:right w:w="100" w:type="dxa"/>
            </w:tcMar>
          </w:tcPr>
          <w:p>
            <w:pPr>
              <w:spacing w:after="0"/>
              <w:jc w:val="center"/>
            </w:pPr>
            <w:r>
              <w:rPr>
                <w:rFonts w:ascii="Calibri" w:hAnsi="Calibri"/>
                <w:b/>
                <w:i w:val="0"/>
                <w:color w:val="14532D"/>
                <w:sz w:val="20"/>
              </w:rPr>
              <w:t>Laag</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jc w:val="center"/>
            </w:pPr>
            <w:r>
              <w:rPr>
                <w:rFonts w:ascii="Calibri" w:hAnsi="Calibri"/>
                <w:b/>
                <w:color w:val="713F12"/>
                <w:sz w:val="22"/>
                <w:highlight w:val="yellow"/>
              </w:rPr>
              <w:t>{{STATUS}}</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Security awareness training + phishing-simulatie</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14532D"/>
                <w:sz w:val="20"/>
              </w:rPr>
              <w:t>–1</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14532D"/>
                <w:sz w:val="20"/>
              </w:rPr>
              <w:t>0</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EFF6FF"/>
            <w:tcMar>
              <w:top w:w="70" w:type="dxa"/>
              <w:bottom w:w="70" w:type="dxa"/>
              <w:left w:w="100" w:type="dxa"/>
              <w:right w:w="100" w:type="dxa"/>
            </w:tcMar>
          </w:tcPr>
          <w:p>
            <w:pPr>
              <w:spacing w:after="0"/>
              <w:jc w:val="center"/>
            </w:pPr>
            <w:r>
              <w:rPr>
                <w:rFonts w:ascii="Calibri" w:hAnsi="Calibri"/>
                <w:b/>
                <w:i w:val="0"/>
                <w:color w:val="14532D"/>
                <w:sz w:val="20"/>
              </w:rPr>
              <w:t>Laag</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jc w:val="center"/>
            </w:pPr>
            <w:r>
              <w:rPr>
                <w:rFonts w:ascii="Calibri" w:hAnsi="Calibri"/>
                <w:b/>
                <w:color w:val="713F12"/>
                <w:sz w:val="22"/>
                <w:highlight w:val="yellow"/>
              </w:rPr>
              <w:t>{{STATUS}}</w:t>
            </w:r>
          </w:p>
        </w:tc>
      </w:tr>
    </w:tbl>
    <w:p>
      <w:pPr>
        <w:spacing w:before="280" w:after="120"/>
        <w:keepNext w:val="1"/>
        <w:pBdr>
          <w:left w:val="single" w:sz="18" w:space="4" w:color="1c1c2e"/>
        </w:pBdr>
        <w:shd w:val="clear" w:color="auto" w:fill="F5F5F5"/>
        <w:ind w:left="180"/>
      </w:pPr>
      <w:r>
        <w:rPr>
          <w:rFonts w:ascii="Calibri" w:hAnsi="Calibri"/>
          <w:b/>
          <w:color w:val="1C1C2E"/>
          <w:sz w:val="20"/>
        </w:rPr>
        <w:t>4 · NIS2 Artikel-Compliancematrix</w:t>
      </w:r>
      <w:r>
        <w:rPr>
          <w:rFonts w:ascii="Calibri" w:hAnsi="Calibri"/>
          <w:color w:val="1D4ED8"/>
          <w:sz w:val="16"/>
        </w:rPr>
        <w:t xml:space="preserve">    NIS2 Art. 21(2)(a)-(j)  ·  ISO 27001 Cl. 6.1.3</w:t>
      </w:r>
    </w:p>
    <w:p>
      <w:pPr>
        <w:spacing w:before="0" w:after="120"/>
      </w:pPr>
      <w:r>
        <w:rPr>
          <w:rFonts w:ascii="Calibri" w:hAnsi="Calibri"/>
          <w:b w:val="0"/>
          <w:i/>
          <w:color w:val="6B7280"/>
          <w:sz w:val="20"/>
        </w:rPr>
        <w:t>Onderstaande matrix toont per NIS2-verplichting welke maatregel(en) van toepassing zijn en wat de huidige nalevingsstatus is.</w:t>
      </w:r>
    </w:p>
    <w:tbl>
      <w:tblPr>
        <w:tblW w:type="auto" w:w="0"/>
        <w:tblLook w:firstColumn="1" w:firstRow="1" w:lastColumn="0" w:lastRow="0" w:noHBand="0" w:noVBand="1" w:val="04A0"/>
        <w:tblW w:w="8504" w:type="dxa"/>
        <w:jc w:val="left"/>
      </w:tblPr>
      <w:tblGrid>
        <w:gridCol w:w="1600"/>
        <w:gridCol w:w="3104"/>
        <w:gridCol w:w="2400"/>
        <w:gridCol w:w="1400"/>
      </w:tblGrid>
      <w:tblGrid>
        <w:gridCol w:w="2126"/>
        <w:gridCol w:w="2126"/>
        <w:gridCol w:w="2126"/>
        <w:gridCol w:w="2126"/>
      </w:tblGrid>
      <w:tr>
        <w:trPr>
          <w:cantSplit w:val="1"/>
          <w:tblHeader/>
        </w:trPr>
        <w:tc>
          <w:tcPr>
            <w:tcW w:type="dxa" w:w="2126"/>
            <w:tcBorders>
              <w:top w:val="single" w:sz="4" w:space="0" w:color="E5E7EB"/>
              <w:bottom w:val="single" w:sz="4" w:space="0" w:color="E5E7EB"/>
              <w:left w:val="single" w:sz="4" w:space="0" w:color="E5E7EB"/>
              <w:right w:val="single" w:sz="4" w:space="0" w:color="E5E7EB"/>
            </w:tcBorders>
            <w:tcW w:w="1600" w:type="dxa"/>
            <w:shd w:val="clear" w:color="auto" w:fill="1C1C2E"/>
            <w:tcMar>
              <w:top w:w="70" w:type="dxa"/>
              <w:bottom w:w="70" w:type="dxa"/>
              <w:left w:w="100" w:type="dxa"/>
              <w:right w:w="100" w:type="dxa"/>
            </w:tcMar>
          </w:tcPr>
          <w:p>
            <w:pPr>
              <w:spacing w:after="0"/>
            </w:pPr>
            <w:r>
              <w:rPr>
                <w:rFonts w:ascii="Calibri" w:hAnsi="Calibri"/>
                <w:b/>
                <w:i w:val="0"/>
                <w:color w:val="FFFFFF"/>
                <w:sz w:val="18"/>
              </w:rPr>
              <w:t>NIS2 Artikel</w:t>
            </w:r>
          </w:p>
        </w:tc>
        <w:tc>
          <w:tcPr>
            <w:tcW w:type="dxa" w:w="2126"/>
            <w:tcBorders>
              <w:top w:val="single" w:sz="4" w:space="0" w:color="E5E7EB"/>
              <w:bottom w:val="single" w:sz="4" w:space="0" w:color="E5E7EB"/>
              <w:left w:val="single" w:sz="4" w:space="0" w:color="E5E7EB"/>
              <w:right w:val="single" w:sz="4" w:space="0" w:color="E5E7EB"/>
            </w:tcBorders>
            <w:tcW w:w="3104" w:type="dxa"/>
            <w:shd w:val="clear" w:color="auto" w:fill="1C1C2E"/>
            <w:tcMar>
              <w:top w:w="70" w:type="dxa"/>
              <w:bottom w:w="70" w:type="dxa"/>
              <w:left w:w="100" w:type="dxa"/>
              <w:right w:w="100" w:type="dxa"/>
            </w:tcMar>
          </w:tcPr>
          <w:p>
            <w:pPr>
              <w:spacing w:after="0"/>
            </w:pPr>
            <w:r>
              <w:rPr>
                <w:rFonts w:ascii="Calibri" w:hAnsi="Calibri"/>
                <w:b/>
                <w:i w:val="0"/>
                <w:color w:val="FFFFFF"/>
                <w:sz w:val="18"/>
              </w:rPr>
              <w:t>Verplichting</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1C1C2E"/>
            <w:tcMar>
              <w:top w:w="70" w:type="dxa"/>
              <w:bottom w:w="70" w:type="dxa"/>
              <w:left w:w="100" w:type="dxa"/>
              <w:right w:w="100" w:type="dxa"/>
            </w:tcMar>
          </w:tcPr>
          <w:p>
            <w:pPr>
              <w:spacing w:after="0"/>
            </w:pPr>
            <w:r>
              <w:rPr>
                <w:rFonts w:ascii="Calibri" w:hAnsi="Calibri"/>
                <w:b/>
                <w:i w:val="0"/>
                <w:color w:val="FFFFFF"/>
                <w:sz w:val="18"/>
              </w:rPr>
              <w:t>Onze maatregel(en)</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1C1C2E"/>
            <w:tcMar>
              <w:top w:w="70" w:type="dxa"/>
              <w:bottom w:w="70" w:type="dxa"/>
              <w:left w:w="100" w:type="dxa"/>
              <w:right w:w="100" w:type="dxa"/>
            </w:tcMar>
          </w:tcPr>
          <w:p>
            <w:pPr>
              <w:spacing w:after="0"/>
            </w:pPr>
            <w:r>
              <w:rPr>
                <w:rFonts w:ascii="Calibri" w:hAnsi="Calibri"/>
                <w:b/>
                <w:i w:val="0"/>
                <w:color w:val="FFFFFF"/>
                <w:sz w:val="18"/>
              </w:rPr>
              <w:t>Status</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1600" w:type="dxa"/>
            <w:shd w:val="clear" w:color="auto" w:fill="EFF6FF"/>
            <w:tcMar>
              <w:top w:w="70" w:type="dxa"/>
              <w:bottom w:w="70" w:type="dxa"/>
              <w:left w:w="100" w:type="dxa"/>
              <w:right w:w="100" w:type="dxa"/>
            </w:tcMar>
          </w:tcPr>
          <w:p>
            <w:pPr>
              <w:spacing w:after="0"/>
            </w:pPr>
            <w:r>
              <w:rPr>
                <w:rFonts w:ascii="Calibri" w:hAnsi="Calibri"/>
                <w:b/>
                <w:i w:val="0"/>
                <w:color w:val="1D4ED8"/>
                <w:sz w:val="18"/>
              </w:rPr>
              <w:t>Art. 21(2)(a)</w:t>
            </w:r>
          </w:p>
        </w:tc>
        <w:tc>
          <w:tcPr>
            <w:tcW w:type="dxa" w:w="2126"/>
            <w:tcBorders>
              <w:top w:val="single" w:sz="4" w:space="0" w:color="E5E7EB"/>
              <w:bottom w:val="single" w:sz="4" w:space="0" w:color="E5E7EB"/>
              <w:left w:val="single" w:sz="4" w:space="0" w:color="E5E7EB"/>
              <w:right w:val="single" w:sz="4" w:space="0" w:color="E5E7EB"/>
            </w:tcBorders>
            <w:tcW w:w="31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Risicobeoordeling en beveiligingsbeleid</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Module 2 + Risicoregister + Beveiligingsbeleid (§3b)</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{{STATUS}}</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1600" w:type="dxa"/>
            <w:shd w:val="clear" w:color="auto" w:fill="EFF6FF"/>
            <w:tcMar>
              <w:top w:w="70" w:type="dxa"/>
              <w:bottom w:w="70" w:type="dxa"/>
              <w:left w:w="100" w:type="dxa"/>
              <w:right w:w="100" w:type="dxa"/>
            </w:tcMar>
          </w:tcPr>
          <w:p>
            <w:pPr>
              <w:spacing w:after="0"/>
            </w:pPr>
            <w:r>
              <w:rPr>
                <w:rFonts w:ascii="Calibri" w:hAnsi="Calibri"/>
                <w:b/>
                <w:i w:val="0"/>
                <w:color w:val="1D4ED8"/>
                <w:sz w:val="18"/>
              </w:rPr>
              <w:t>Art. 21(2)(b)</w:t>
            </w:r>
          </w:p>
        </w:tc>
        <w:tc>
          <w:tcPr>
            <w:tcW w:type="dxa" w:w="2126"/>
            <w:tcBorders>
              <w:top w:val="single" w:sz="4" w:space="0" w:color="E5E7EB"/>
              <w:bottom w:val="single" w:sz="4" w:space="0" w:color="E5E7EB"/>
              <w:left w:val="single" w:sz="4" w:space="0" w:color="E5E7EB"/>
              <w:right w:val="single" w:sz="4" w:space="0" w:color="E5E7EB"/>
            </w:tcBorders>
            <w:tcW w:w="3104"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Incidentafhandeling</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Incidentrespons plan (§3b) + Module 5</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{{STATUS}}</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1600" w:type="dxa"/>
            <w:shd w:val="clear" w:color="auto" w:fill="EFF6FF"/>
            <w:tcMar>
              <w:top w:w="70" w:type="dxa"/>
              <w:bottom w:w="70" w:type="dxa"/>
              <w:left w:w="100" w:type="dxa"/>
              <w:right w:w="100" w:type="dxa"/>
            </w:tcMar>
          </w:tcPr>
          <w:p>
            <w:pPr>
              <w:spacing w:after="0"/>
            </w:pPr>
            <w:r>
              <w:rPr>
                <w:rFonts w:ascii="Calibri" w:hAnsi="Calibri"/>
                <w:b/>
                <w:i w:val="0"/>
                <w:color w:val="1D4ED8"/>
                <w:sz w:val="18"/>
              </w:rPr>
              <w:t>Art. 21(2)(c)</w:t>
            </w:r>
          </w:p>
        </w:tc>
        <w:tc>
          <w:tcPr>
            <w:tcW w:type="dxa" w:w="2126"/>
            <w:tcBorders>
              <w:top w:val="single" w:sz="4" w:space="0" w:color="E5E7EB"/>
              <w:bottom w:val="single" w:sz="4" w:space="0" w:color="E5E7EB"/>
              <w:left w:val="single" w:sz="4" w:space="0" w:color="E5E7EB"/>
              <w:right w:val="single" w:sz="4" w:space="0" w:color="E5E7EB"/>
            </w:tcBorders>
            <w:tcW w:w="31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Bedrijfscontinuïteit en herstel</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Backup 3-2-1 + hersteltest (§3a) + Module 6</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{{STATUS}}</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1600" w:type="dxa"/>
            <w:shd w:val="clear" w:color="auto" w:fill="EFF6FF"/>
            <w:tcMar>
              <w:top w:w="70" w:type="dxa"/>
              <w:bottom w:w="70" w:type="dxa"/>
              <w:left w:w="100" w:type="dxa"/>
              <w:right w:w="100" w:type="dxa"/>
            </w:tcMar>
          </w:tcPr>
          <w:p>
            <w:pPr>
              <w:spacing w:after="0"/>
            </w:pPr>
            <w:r>
              <w:rPr>
                <w:rFonts w:ascii="Calibri" w:hAnsi="Calibri"/>
                <w:b/>
                <w:i w:val="0"/>
                <w:color w:val="1D4ED8"/>
                <w:sz w:val="18"/>
              </w:rPr>
              <w:t>Art. 21(2)(d)</w:t>
            </w:r>
          </w:p>
        </w:tc>
        <w:tc>
          <w:tcPr>
            <w:tcW w:type="dxa" w:w="2126"/>
            <w:tcBorders>
              <w:top w:val="single" w:sz="4" w:space="0" w:color="E5E7EB"/>
              <w:bottom w:val="single" w:sz="4" w:space="0" w:color="E5E7EB"/>
              <w:left w:val="single" w:sz="4" w:space="0" w:color="E5E7EB"/>
              <w:right w:val="single" w:sz="4" w:space="0" w:color="E5E7EB"/>
            </w:tcBorders>
            <w:tcW w:w="3104"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Beveiliging toeleveringsketen</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Leveranciersbeoordeling (§3b) + Module 4</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{{STATUS}}</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1600" w:type="dxa"/>
            <w:shd w:val="clear" w:color="auto" w:fill="EFF6FF"/>
            <w:tcMar>
              <w:top w:w="70" w:type="dxa"/>
              <w:bottom w:w="70" w:type="dxa"/>
              <w:left w:w="100" w:type="dxa"/>
              <w:right w:w="100" w:type="dxa"/>
            </w:tcMar>
          </w:tcPr>
          <w:p>
            <w:pPr>
              <w:spacing w:after="0"/>
            </w:pPr>
            <w:r>
              <w:rPr>
                <w:rFonts w:ascii="Calibri" w:hAnsi="Calibri"/>
                <w:b/>
                <w:i w:val="0"/>
                <w:color w:val="1D4ED8"/>
                <w:sz w:val="18"/>
              </w:rPr>
              <w:t>Art. 21(2)(e)</w:t>
            </w:r>
          </w:p>
        </w:tc>
        <w:tc>
          <w:tcPr>
            <w:tcW w:type="dxa" w:w="2126"/>
            <w:tcBorders>
              <w:top w:val="single" w:sz="4" w:space="0" w:color="E5E7EB"/>
              <w:bottom w:val="single" w:sz="4" w:space="0" w:color="E5E7EB"/>
              <w:left w:val="single" w:sz="4" w:space="0" w:color="E5E7EB"/>
              <w:right w:val="single" w:sz="4" w:space="0" w:color="E5E7EB"/>
            </w:tcBorders>
            <w:tcW w:w="31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Netwerkbeveiliging en systemen</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MFA + EDR + Patches + Segmentatie + Logging (§3a)</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{{STATUS}}</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1600" w:type="dxa"/>
            <w:shd w:val="clear" w:color="auto" w:fill="EFF6FF"/>
            <w:tcMar>
              <w:top w:w="70" w:type="dxa"/>
              <w:bottom w:w="70" w:type="dxa"/>
              <w:left w:w="100" w:type="dxa"/>
              <w:right w:w="100" w:type="dxa"/>
            </w:tcMar>
          </w:tcPr>
          <w:p>
            <w:pPr>
              <w:spacing w:after="0"/>
            </w:pPr>
            <w:r>
              <w:rPr>
                <w:rFonts w:ascii="Calibri" w:hAnsi="Calibri"/>
                <w:b/>
                <w:i w:val="0"/>
                <w:color w:val="1D4ED8"/>
                <w:sz w:val="18"/>
              </w:rPr>
              <w:t>Art. 21(2)(f)</w:t>
            </w:r>
          </w:p>
        </w:tc>
        <w:tc>
          <w:tcPr>
            <w:tcW w:type="dxa" w:w="2126"/>
            <w:tcBorders>
              <w:top w:val="single" w:sz="4" w:space="0" w:color="E5E7EB"/>
              <w:bottom w:val="single" w:sz="4" w:space="0" w:color="E5E7EB"/>
              <w:left w:val="single" w:sz="4" w:space="0" w:color="E5E7EB"/>
              <w:right w:val="single" w:sz="4" w:space="0" w:color="E5E7EB"/>
            </w:tcBorders>
            <w:tcW w:w="3104"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Effectiviteitsbeoordeling</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Change management + Logging (§3a, §3b) + Module 8</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{{STATUS}}</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1600" w:type="dxa"/>
            <w:shd w:val="clear" w:color="auto" w:fill="EFF6FF"/>
            <w:tcMar>
              <w:top w:w="70" w:type="dxa"/>
              <w:bottom w:w="70" w:type="dxa"/>
              <w:left w:w="100" w:type="dxa"/>
              <w:right w:w="100" w:type="dxa"/>
            </w:tcMar>
          </w:tcPr>
          <w:p>
            <w:pPr>
              <w:spacing w:after="0"/>
            </w:pPr>
            <w:r>
              <w:rPr>
                <w:rFonts w:ascii="Calibri" w:hAnsi="Calibri"/>
                <w:b/>
                <w:i w:val="0"/>
                <w:color w:val="1D4ED8"/>
                <w:sz w:val="18"/>
              </w:rPr>
              <w:t>Art. 21(2)(g)</w:t>
            </w:r>
          </w:p>
        </w:tc>
        <w:tc>
          <w:tcPr>
            <w:tcW w:type="dxa" w:w="2126"/>
            <w:tcBorders>
              <w:top w:val="single" w:sz="4" w:space="0" w:color="E5E7EB"/>
              <w:bottom w:val="single" w:sz="4" w:space="0" w:color="E5E7EB"/>
              <w:left w:val="single" w:sz="4" w:space="0" w:color="E5E7EB"/>
              <w:right w:val="single" w:sz="4" w:space="0" w:color="E5E7EB"/>
            </w:tcBorders>
            <w:tcW w:w="31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Cyberhygiëne en training</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Security awareness training (§3b)</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{{STATUS}}</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1600" w:type="dxa"/>
            <w:shd w:val="clear" w:color="auto" w:fill="EFF6FF"/>
            <w:tcMar>
              <w:top w:w="70" w:type="dxa"/>
              <w:bottom w:w="70" w:type="dxa"/>
              <w:left w:w="100" w:type="dxa"/>
              <w:right w:w="100" w:type="dxa"/>
            </w:tcMar>
          </w:tcPr>
          <w:p>
            <w:pPr>
              <w:spacing w:after="0"/>
            </w:pPr>
            <w:r>
              <w:rPr>
                <w:rFonts w:ascii="Calibri" w:hAnsi="Calibri"/>
                <w:b/>
                <w:i w:val="0"/>
                <w:color w:val="1D4ED8"/>
                <w:sz w:val="18"/>
              </w:rPr>
              <w:t>Art. 21(2)(h)</w:t>
            </w:r>
          </w:p>
        </w:tc>
        <w:tc>
          <w:tcPr>
            <w:tcW w:type="dxa" w:w="2126"/>
            <w:tcBorders>
              <w:top w:val="single" w:sz="4" w:space="0" w:color="E5E7EB"/>
              <w:bottom w:val="single" w:sz="4" w:space="0" w:color="E5E7EB"/>
              <w:left w:val="single" w:sz="4" w:space="0" w:color="E5E7EB"/>
              <w:right w:val="single" w:sz="4" w:space="0" w:color="E5E7EB"/>
            </w:tcBorders>
            <w:tcW w:w="3104"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Cryptografie</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Encryptie in rust en transit (§3a)</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{{STATUS}}</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1600" w:type="dxa"/>
            <w:shd w:val="clear" w:color="auto" w:fill="EFF6FF"/>
            <w:tcMar>
              <w:top w:w="70" w:type="dxa"/>
              <w:bottom w:w="70" w:type="dxa"/>
              <w:left w:w="100" w:type="dxa"/>
              <w:right w:w="100" w:type="dxa"/>
            </w:tcMar>
          </w:tcPr>
          <w:p>
            <w:pPr>
              <w:spacing w:after="0"/>
            </w:pPr>
            <w:r>
              <w:rPr>
                <w:rFonts w:ascii="Calibri" w:hAnsi="Calibri"/>
                <w:b/>
                <w:i w:val="0"/>
                <w:color w:val="1D4ED8"/>
                <w:sz w:val="18"/>
              </w:rPr>
              <w:t>Art. 21(2)(i)</w:t>
            </w:r>
          </w:p>
        </w:tc>
        <w:tc>
          <w:tcPr>
            <w:tcW w:type="dxa" w:w="2126"/>
            <w:tcBorders>
              <w:top w:val="single" w:sz="4" w:space="0" w:color="E5E7EB"/>
              <w:bottom w:val="single" w:sz="4" w:space="0" w:color="E5E7EB"/>
              <w:left w:val="single" w:sz="4" w:space="0" w:color="E5E7EB"/>
              <w:right w:val="single" w:sz="4" w:space="0" w:color="E5E7EB"/>
            </w:tcBorders>
            <w:tcW w:w="31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HR-beveiliging en toegangsbeheer</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Toegangsreview + offboarding (§3b)</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{{STATUS}}</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1600" w:type="dxa"/>
            <w:shd w:val="clear" w:color="auto" w:fill="EFF6FF"/>
            <w:tcMar>
              <w:top w:w="70" w:type="dxa"/>
              <w:bottom w:w="70" w:type="dxa"/>
              <w:left w:w="100" w:type="dxa"/>
              <w:right w:w="100" w:type="dxa"/>
            </w:tcMar>
          </w:tcPr>
          <w:p>
            <w:pPr>
              <w:spacing w:after="0"/>
            </w:pPr>
            <w:r>
              <w:rPr>
                <w:rFonts w:ascii="Calibri" w:hAnsi="Calibri"/>
                <w:b/>
                <w:i w:val="0"/>
                <w:color w:val="1D4ED8"/>
                <w:sz w:val="18"/>
              </w:rPr>
              <w:t>Art. 21(2)(j)</w:t>
            </w:r>
          </w:p>
        </w:tc>
        <w:tc>
          <w:tcPr>
            <w:tcW w:type="dxa" w:w="2126"/>
            <w:tcBorders>
              <w:top w:val="single" w:sz="4" w:space="0" w:color="E5E7EB"/>
              <w:bottom w:val="single" w:sz="4" w:space="0" w:color="E5E7EB"/>
              <w:left w:val="single" w:sz="4" w:space="0" w:color="E5E7EB"/>
              <w:right w:val="single" w:sz="4" w:space="0" w:color="E5E7EB"/>
            </w:tcBorders>
            <w:tcW w:w="3104"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Multi-factor authenticatie</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MFA alle kritieke systemen (§3a)</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{{STATUS}}</w:t>
            </w:r>
          </w:p>
        </w:tc>
      </w:tr>
    </w:tbl>
    <w:p>
      <w:pPr>
        <w:spacing w:before="280" w:after="120"/>
        <w:keepNext w:val="1"/>
        <w:pBdr>
          <w:left w:val="single" w:sz="18" w:space="4" w:color="1c1c2e"/>
        </w:pBdr>
        <w:shd w:val="clear" w:color="auto" w:fill="F5F5F5"/>
        <w:ind w:left="180"/>
      </w:pPr>
      <w:r>
        <w:rPr>
          <w:rFonts w:ascii="Calibri" w:hAnsi="Calibri"/>
          <w:b/>
          <w:color w:val="1C1C2E"/>
          <w:sz w:val="20"/>
        </w:rPr>
        <w:t>5 · Bewaking &amp; Herziening</w:t>
      </w:r>
      <w:r>
        <w:rPr>
          <w:rFonts w:ascii="Calibri" w:hAnsi="Calibri"/>
          <w:color w:val="1D4ED8"/>
          <w:sz w:val="16"/>
        </w:rPr>
        <w:t xml:space="preserve">    NIS2 Art. 21(2)(f)  ·  ISO 27001 Cl. 9.1</w:t>
      </w:r>
    </w:p>
    <w:tbl>
      <w:tblPr>
        <w:tblW w:type="auto" w:w="0"/>
        <w:tblLook w:firstColumn="1" w:firstRow="1" w:lastColumn="0" w:lastRow="0" w:noHBand="0" w:noVBand="1" w:val="04A0"/>
        <w:tblW w:w="8504" w:type="dxa"/>
        <w:jc w:val="left"/>
      </w:tblPr>
      <w:tblGrid>
        <w:gridCol w:w="2400"/>
        <w:gridCol w:w="6104"/>
      </w:tblGrid>
      <w:tblGrid>
        <w:gridCol w:w="4252"/>
        <w:gridCol w:w="4252"/>
      </w:tblGrid>
      <w:tr>
        <w:trPr>
          <w:cantSplit w:val="1"/>
          <w:tblHeader/>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Monitoringfrequentie</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Continue monitoring via logging/SIEM · Kwartaallijkse toegangsreview · Jaarlijkse volledige review</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Review trigger</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Na significante beveiligingsincidenten · Bij wijziging dreigingslandschap (nieuwe NCSC-adviezen) · Bij organisatorische wijzigingen</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Verantwoordelijke</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color w:val="713F12"/>
                <w:sz w:val="22"/>
                <w:highlight w:val="yellow"/>
              </w:rPr>
              <w:t>{{NAAM CISO}}</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Volgende review</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color w:val="713F12"/>
                <w:sz w:val="22"/>
                <w:highlight w:val="yellow"/>
              </w:rPr>
              <w:t>{{DATUM VOLGENDE REVIEW}}  (maximaal 12 maanden na huidig document)</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Documentatiebeheer</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Ondertekend exemplaar bewaren minimaal 3 jaar · Versiehistorie bijhouden · Beschikbaar voor toezichthouder op verzoek</w:t>
            </w:r>
          </w:p>
        </w:tc>
      </w:tr>
    </w:tbl>
    <w:p>
      <w:pPr>
        <w:spacing w:before="280" w:after="120"/>
        <w:keepNext w:val="1"/>
        <w:pBdr>
          <w:left w:val="single" w:sz="18" w:space="4" w:color="1c1c2e"/>
        </w:pBdr>
        <w:shd w:val="clear" w:color="auto" w:fill="F5F5F5"/>
        <w:ind w:left="180"/>
      </w:pPr>
      <w:r>
        <w:rPr>
          <w:rFonts w:ascii="Calibri" w:hAnsi="Calibri"/>
          <w:b/>
          <w:color w:val="1C1C2E"/>
          <w:sz w:val="20"/>
        </w:rPr>
        <w:t>6 · Regelgevingsverwijzing</w:t>
      </w:r>
      <w:r>
        <w:rPr>
          <w:rFonts w:ascii="Calibri" w:hAnsi="Calibri"/>
          <w:color w:val="1D4ED8"/>
          <w:sz w:val="16"/>
        </w:rPr>
        <w:t xml:space="preserve">    NIS2 Art. 21  ·  ISO 27001 Cl. 6.1.3</w:t>
      </w:r>
    </w:p>
    <w:tbl>
      <w:tblPr>
        <w:tblW w:type="auto" w:w="0"/>
        <w:tblLook w:firstColumn="1" w:firstRow="1" w:lastColumn="0" w:lastRow="0" w:noHBand="0" w:noVBand="1" w:val="04A0"/>
        <w:tblW w:w="8504" w:type="dxa"/>
        <w:jc w:val="left"/>
      </w:tblPr>
      <w:tblGrid>
        <w:gridCol w:w="2200"/>
        <w:gridCol w:w="3204"/>
        <w:gridCol w:w="3100"/>
      </w:tblGrid>
      <w:tblGrid>
        <w:gridCol w:w="2835"/>
        <w:gridCol w:w="2835"/>
        <w:gridCol w:w="2835"/>
      </w:tblGrid>
      <w:tr>
        <w:trPr>
          <w:cantSplit w:val="1"/>
          <w:tblHeader/>
        </w:trPr>
        <w:tc>
          <w:tcPr>
            <w:tcW w:type="dxa" w:w="2835"/>
            <w:tcBorders>
              <w:top w:val="single" w:sz="4" w:space="0" w:color="E5E7EB"/>
              <w:bottom w:val="single" w:sz="4" w:space="0" w:color="E5E7EB"/>
              <w:left w:val="single" w:sz="4" w:space="0" w:color="E5E7EB"/>
              <w:right w:val="single" w:sz="4" w:space="0" w:color="E5E7EB"/>
            </w:tcBorders>
            <w:tcW w:w="2200" w:type="dxa"/>
            <w:shd w:val="clear" w:color="auto" w:fill="1C1C2E"/>
            <w:tcMar>
              <w:top w:w="70" w:type="dxa"/>
              <w:bottom w:w="70" w:type="dxa"/>
              <w:left w:w="100" w:type="dxa"/>
              <w:right w:w="100" w:type="dxa"/>
            </w:tcMar>
          </w:tcPr>
          <w:p>
            <w:pPr>
              <w:spacing w:after="0"/>
            </w:pPr>
            <w:r>
              <w:rPr>
                <w:rFonts w:ascii="Calibri" w:hAnsi="Calibri"/>
                <w:b/>
                <w:i w:val="0"/>
                <w:color w:val="FFFFFF"/>
                <w:sz w:val="18"/>
              </w:rPr>
              <w:t>Kader</w:t>
            </w:r>
          </w:p>
        </w:tc>
        <w:tc>
          <w:tcPr>
            <w:tcW w:type="dxa" w:w="2835"/>
            <w:tcBorders>
              <w:top w:val="single" w:sz="4" w:space="0" w:color="E5E7EB"/>
              <w:bottom w:val="single" w:sz="4" w:space="0" w:color="E5E7EB"/>
              <w:left w:val="single" w:sz="4" w:space="0" w:color="E5E7EB"/>
              <w:right w:val="single" w:sz="4" w:space="0" w:color="E5E7EB"/>
            </w:tcBorders>
            <w:tcW w:w="3204" w:type="dxa"/>
            <w:shd w:val="clear" w:color="auto" w:fill="1C1C2E"/>
            <w:tcMar>
              <w:top w:w="70" w:type="dxa"/>
              <w:bottom w:w="70" w:type="dxa"/>
              <w:left w:w="100" w:type="dxa"/>
              <w:right w:w="100" w:type="dxa"/>
            </w:tcMar>
          </w:tcPr>
          <w:p>
            <w:pPr>
              <w:spacing w:after="0"/>
            </w:pPr>
            <w:r>
              <w:rPr>
                <w:rFonts w:ascii="Calibri" w:hAnsi="Calibri"/>
                <w:b/>
                <w:i w:val="0"/>
                <w:color w:val="FFFFFF"/>
                <w:sz w:val="18"/>
              </w:rPr>
              <w:t>Artikel / Clausule</w:t>
            </w:r>
          </w:p>
        </w:tc>
        <w:tc>
          <w:tcPr>
            <w:tcW w:type="dxa" w:w="2835"/>
            <w:tcBorders>
              <w:top w:val="single" w:sz="4" w:space="0" w:color="E5E7EB"/>
              <w:bottom w:val="single" w:sz="4" w:space="0" w:color="E5E7EB"/>
              <w:left w:val="single" w:sz="4" w:space="0" w:color="E5E7EB"/>
              <w:right w:val="single" w:sz="4" w:space="0" w:color="E5E7EB"/>
            </w:tcBorders>
            <w:tcW w:w="3100" w:type="dxa"/>
            <w:shd w:val="clear" w:color="auto" w:fill="1C1C2E"/>
            <w:tcMar>
              <w:top w:w="70" w:type="dxa"/>
              <w:bottom w:w="70" w:type="dxa"/>
              <w:left w:w="100" w:type="dxa"/>
              <w:right w:w="100" w:type="dxa"/>
            </w:tcMar>
          </w:tcPr>
          <w:p>
            <w:pPr>
              <w:spacing w:after="0"/>
            </w:pPr>
            <w:r>
              <w:rPr>
                <w:rFonts w:ascii="Calibri" w:hAnsi="Calibri"/>
                <w:b/>
                <w:i w:val="0"/>
                <w:color w:val="FFFFFF"/>
                <w:sz w:val="18"/>
              </w:rPr>
              <w:t>Relevantie voor dit module</w:t>
            </w:r>
          </w:p>
        </w:tc>
      </w:tr>
      <w:tr>
        <w:trPr>
          <w:cantSplit w:val="1"/>
        </w:trPr>
        <w:tc>
          <w:tcPr>
            <w:tcW w:type="dxa" w:w="2835"/>
            <w:tcBorders>
              <w:top w:val="single" w:sz="4" w:space="0" w:color="E5E7EB"/>
              <w:bottom w:val="single" w:sz="4" w:space="0" w:color="E5E7EB"/>
              <w:left w:val="single" w:sz="4" w:space="0" w:color="E5E7EB"/>
              <w:right w:val="single" w:sz="4" w:space="0" w:color="E5E7EB"/>
            </w:tcBorders>
            <w:tcW w:w="22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NIS2 / Cyberbeveiligingswet</w:t>
            </w:r>
          </w:p>
        </w:tc>
        <w:tc>
          <w:tcPr>
            <w:tcW w:type="dxa" w:w="2835"/>
            <w:tcBorders>
              <w:top w:val="single" w:sz="4" w:space="0" w:color="E5E7EB"/>
              <w:bottom w:val="single" w:sz="4" w:space="0" w:color="E5E7EB"/>
              <w:left w:val="single" w:sz="4" w:space="0" w:color="E5E7EB"/>
              <w:right w:val="single" w:sz="4" w:space="0" w:color="E5E7EB"/>
            </w:tcBorders>
            <w:tcW w:w="3204" w:type="dxa"/>
            <w:shd w:val="clear" w:color="auto" w:fill="FFFFFF"/>
            <w:tcMar>
              <w:top w:w="70" w:type="dxa"/>
              <w:bottom w:w="70" w:type="dxa"/>
              <w:left w:w="100" w:type="dxa"/>
              <w:right w:w="100" w:type="dxa"/>
            </w:tcMar>
          </w:tcPr>
          <w:p>
            <w:pPr>
              <w:spacing w:after="0"/>
            </w:pPr>
            <w:r>
              <w:rPr>
                <w:rFonts w:ascii="Calibri" w:hAnsi="Calibri"/>
                <w:b/>
                <w:i w:val="0"/>
                <w:color w:val="1D4ED8"/>
                <w:sz w:val="20"/>
              </w:rPr>
              <w:t>Art. 21(2)(a)–(j)</w:t>
            </w:r>
          </w:p>
        </w:tc>
        <w:tc>
          <w:tcPr>
            <w:tcW w:type="dxa" w:w="2835"/>
            <w:tcBorders>
              <w:top w:val="single" w:sz="4" w:space="0" w:color="E5E7EB"/>
              <w:bottom w:val="single" w:sz="4" w:space="0" w:color="E5E7EB"/>
              <w:left w:val="single" w:sz="4" w:space="0" w:color="E5E7EB"/>
              <w:right w:val="single" w:sz="4" w:space="0" w:color="E5E7EB"/>
            </w:tcBorders>
            <w:tcW w:w="31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Volledig spectrum beveiligingsmaatregelen — alle sub-artikelen van toepassing</w:t>
            </w:r>
          </w:p>
        </w:tc>
      </w:tr>
      <w:tr>
        <w:trPr>
          <w:cantSplit w:val="1"/>
        </w:trPr>
        <w:tc>
          <w:tcPr>
            <w:tcW w:type="dxa" w:w="2835"/>
            <w:tcBorders>
              <w:top w:val="single" w:sz="4" w:space="0" w:color="E5E7EB"/>
              <w:bottom w:val="single" w:sz="4" w:space="0" w:color="E5E7EB"/>
              <w:left w:val="single" w:sz="4" w:space="0" w:color="E5E7EB"/>
              <w:right w:val="single" w:sz="4" w:space="0" w:color="E5E7EB"/>
            </w:tcBorders>
            <w:tcW w:w="22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NIS2 / Cyberbeveiligingswet</w:t>
            </w:r>
          </w:p>
        </w:tc>
        <w:tc>
          <w:tcPr>
            <w:tcW w:type="dxa" w:w="2835"/>
            <w:tcBorders>
              <w:top w:val="single" w:sz="4" w:space="0" w:color="E5E7EB"/>
              <w:bottom w:val="single" w:sz="4" w:space="0" w:color="E5E7EB"/>
              <w:left w:val="single" w:sz="4" w:space="0" w:color="E5E7EB"/>
              <w:right w:val="single" w:sz="4" w:space="0" w:color="E5E7EB"/>
            </w:tcBorders>
            <w:tcW w:w="3204" w:type="dxa"/>
            <w:shd w:val="clear" w:color="auto" w:fill="F9FAFB"/>
            <w:tcMar>
              <w:top w:w="70" w:type="dxa"/>
              <w:bottom w:w="70" w:type="dxa"/>
              <w:left w:w="100" w:type="dxa"/>
              <w:right w:w="100" w:type="dxa"/>
            </w:tcMar>
          </w:tcPr>
          <w:p>
            <w:pPr>
              <w:spacing w:after="0"/>
            </w:pPr>
            <w:r>
              <w:rPr>
                <w:rFonts w:ascii="Calibri" w:hAnsi="Calibri"/>
                <w:b/>
                <w:i w:val="0"/>
                <w:color w:val="1D4ED8"/>
                <w:sz w:val="20"/>
              </w:rPr>
              <w:t>Art. 23</w:t>
            </w:r>
          </w:p>
        </w:tc>
        <w:tc>
          <w:tcPr>
            <w:tcW w:type="dxa" w:w="2835"/>
            <w:tcBorders>
              <w:top w:val="single" w:sz="4" w:space="0" w:color="E5E7EB"/>
              <w:bottom w:val="single" w:sz="4" w:space="0" w:color="E5E7EB"/>
              <w:left w:val="single" w:sz="4" w:space="0" w:color="E5E7EB"/>
              <w:right w:val="single" w:sz="4" w:space="0" w:color="E5E7EB"/>
            </w:tcBorders>
            <w:tcW w:w="31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Meldplicht significante incidenten — incidentrespons plan vereist</w:t>
            </w:r>
          </w:p>
        </w:tc>
      </w:tr>
      <w:tr>
        <w:trPr>
          <w:cantSplit w:val="1"/>
        </w:trPr>
        <w:tc>
          <w:tcPr>
            <w:tcW w:type="dxa" w:w="2835"/>
            <w:tcBorders>
              <w:top w:val="single" w:sz="4" w:space="0" w:color="E5E7EB"/>
              <w:bottom w:val="single" w:sz="4" w:space="0" w:color="E5E7EB"/>
              <w:left w:val="single" w:sz="4" w:space="0" w:color="E5E7EB"/>
              <w:right w:val="single" w:sz="4" w:space="0" w:color="E5E7EB"/>
            </w:tcBorders>
            <w:tcW w:w="22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ISO/IEC 27001:2022</w:t>
            </w:r>
          </w:p>
        </w:tc>
        <w:tc>
          <w:tcPr>
            <w:tcW w:type="dxa" w:w="2835"/>
            <w:tcBorders>
              <w:top w:val="single" w:sz="4" w:space="0" w:color="E5E7EB"/>
              <w:bottom w:val="single" w:sz="4" w:space="0" w:color="E5E7EB"/>
              <w:left w:val="single" w:sz="4" w:space="0" w:color="E5E7EB"/>
              <w:right w:val="single" w:sz="4" w:space="0" w:color="E5E7EB"/>
            </w:tcBorders>
            <w:tcW w:w="3204" w:type="dxa"/>
            <w:shd w:val="clear" w:color="auto" w:fill="FFFFFF"/>
            <w:tcMar>
              <w:top w:w="70" w:type="dxa"/>
              <w:bottom w:w="70" w:type="dxa"/>
              <w:left w:w="100" w:type="dxa"/>
              <w:right w:w="100" w:type="dxa"/>
            </w:tcMar>
          </w:tcPr>
          <w:p>
            <w:pPr>
              <w:spacing w:after="0"/>
            </w:pPr>
            <w:r>
              <w:rPr>
                <w:rFonts w:ascii="Calibri" w:hAnsi="Calibri"/>
                <w:b/>
                <w:i w:val="0"/>
                <w:color w:val="1D4ED8"/>
                <w:sz w:val="20"/>
              </w:rPr>
              <w:t>Bijlage A (Controls A.5–A.8)</w:t>
            </w:r>
          </w:p>
        </w:tc>
        <w:tc>
          <w:tcPr>
            <w:tcW w:type="dxa" w:w="2835"/>
            <w:tcBorders>
              <w:top w:val="single" w:sz="4" w:space="0" w:color="E5E7EB"/>
              <w:bottom w:val="single" w:sz="4" w:space="0" w:color="E5E7EB"/>
              <w:left w:val="single" w:sz="4" w:space="0" w:color="E5E7EB"/>
              <w:right w:val="single" w:sz="4" w:space="0" w:color="E5E7EB"/>
            </w:tcBorders>
            <w:tcW w:w="31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ISO controls 95% overlap met NIS2 — cross-referentie in §4</w:t>
            </w:r>
          </w:p>
        </w:tc>
      </w:tr>
      <w:tr>
        <w:trPr>
          <w:cantSplit w:val="1"/>
        </w:trPr>
        <w:tc>
          <w:tcPr>
            <w:tcW w:type="dxa" w:w="2835"/>
            <w:tcBorders>
              <w:top w:val="single" w:sz="4" w:space="0" w:color="E5E7EB"/>
              <w:bottom w:val="single" w:sz="4" w:space="0" w:color="E5E7EB"/>
              <w:left w:val="single" w:sz="4" w:space="0" w:color="E5E7EB"/>
              <w:right w:val="single" w:sz="4" w:space="0" w:color="E5E7EB"/>
            </w:tcBorders>
            <w:tcW w:w="22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ISO/IEC 27005:2022</w:t>
            </w:r>
          </w:p>
        </w:tc>
        <w:tc>
          <w:tcPr>
            <w:tcW w:type="dxa" w:w="2835"/>
            <w:tcBorders>
              <w:top w:val="single" w:sz="4" w:space="0" w:color="E5E7EB"/>
              <w:bottom w:val="single" w:sz="4" w:space="0" w:color="E5E7EB"/>
              <w:left w:val="single" w:sz="4" w:space="0" w:color="E5E7EB"/>
              <w:right w:val="single" w:sz="4" w:space="0" w:color="E5E7EB"/>
            </w:tcBorders>
            <w:tcW w:w="3204" w:type="dxa"/>
            <w:shd w:val="clear" w:color="auto" w:fill="F9FAFB"/>
            <w:tcMar>
              <w:top w:w="70" w:type="dxa"/>
              <w:bottom w:w="70" w:type="dxa"/>
              <w:left w:w="100" w:type="dxa"/>
              <w:right w:w="100" w:type="dxa"/>
            </w:tcMar>
          </w:tcPr>
          <w:p>
            <w:pPr>
              <w:spacing w:after="0"/>
            </w:pPr>
            <w:r>
              <w:rPr>
                <w:rFonts w:ascii="Calibri" w:hAnsi="Calibri"/>
                <w:b/>
                <w:i w:val="0"/>
                <w:color w:val="1D4ED8"/>
                <w:sz w:val="20"/>
              </w:rPr>
              <w:t>Cl. 8 (Risicobehandeling)</w:t>
            </w:r>
          </w:p>
        </w:tc>
        <w:tc>
          <w:tcPr>
            <w:tcW w:type="dxa" w:w="2835"/>
            <w:tcBorders>
              <w:top w:val="single" w:sz="4" w:space="0" w:color="E5E7EB"/>
              <w:bottom w:val="single" w:sz="4" w:space="0" w:color="E5E7EB"/>
              <w:left w:val="single" w:sz="4" w:space="0" w:color="E5E7EB"/>
              <w:right w:val="single" w:sz="4" w:space="0" w:color="E5E7EB"/>
            </w:tcBorders>
            <w:tcW w:w="31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Methode voor selectie en prioritering beheersmaatregelen</w:t>
            </w:r>
          </w:p>
        </w:tc>
      </w:tr>
    </w:tbl>
    <w:p>
      <w:pPr>
        <w:spacing w:before="280" w:after="120"/>
        <w:keepNext w:val="1"/>
        <w:pBdr>
          <w:left w:val="single" w:sz="18" w:space="4" w:color="1c1c2e"/>
        </w:pBdr>
        <w:shd w:val="clear" w:color="auto" w:fill="F5F5F5"/>
        <w:ind w:left="180"/>
      </w:pPr>
      <w:r>
        <w:rPr>
          <w:rFonts w:ascii="Calibri" w:hAnsi="Calibri"/>
          <w:b/>
          <w:color w:val="1C1C2E"/>
          <w:sz w:val="20"/>
        </w:rPr>
        <w:t>7 · Ingevuld voorbeeld — Energiebedrijf Van Dam B.V.</w:t>
      </w:r>
    </w:p>
    <w:p>
      <w:pPr>
        <w:spacing w:before="0" w:after="120"/>
      </w:pPr>
      <w:r>
        <w:rPr>
          <w:rFonts w:ascii="Calibri" w:hAnsi="Calibri"/>
          <w:b w:val="0"/>
          <w:i/>
          <w:color w:val="6B7280"/>
          <w:sz w:val="20"/>
        </w:rPr>
        <w:t>Ter illustratie: een fictief energiebedrijf met 65 medewerkers en een OT-omgeving (SCADA voor netbeheer). Top-2 risico's: Ransomware OT (Score 20) en Onbeveiligde remote access (Score 16).</w:t>
      </w:r>
    </w:p>
    <w:tbl>
      <w:tblPr>
        <w:tblW w:type="auto" w:w="0"/>
        <w:tblLook w:firstColumn="1" w:firstRow="1" w:lastColumn="0" w:lastRow="0" w:noHBand="0" w:noVBand="1" w:val="04A0"/>
        <w:tblW w:w="8504" w:type="dxa"/>
        <w:jc w:val="left"/>
      </w:tblPr>
      <w:tblGrid>
        <w:gridCol w:w="3000"/>
        <w:gridCol w:w="1200"/>
        <w:gridCol w:w="1504"/>
        <w:gridCol w:w="1400"/>
        <w:gridCol w:w="1400"/>
      </w:tblGrid>
      <w:tblGrid>
        <w:gridCol w:w="1701"/>
        <w:gridCol w:w="1701"/>
        <w:gridCol w:w="1701"/>
        <w:gridCol w:w="1701"/>
        <w:gridCol w:w="1701"/>
      </w:tblGrid>
      <w:tr>
        <w:trPr>
          <w:cantSplit w:val="1"/>
          <w:tblHeader/>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1E3A6E"/>
            <w:tcMar>
              <w:top w:w="70" w:type="dxa"/>
              <w:bottom w:w="70" w:type="dxa"/>
              <w:left w:w="100" w:type="dxa"/>
              <w:right w:w="100" w:type="dxa"/>
            </w:tcMar>
          </w:tcPr>
          <w:p>
            <w:pPr>
              <w:spacing w:after="0"/>
            </w:pPr>
            <w:r>
              <w:rPr>
                <w:rFonts w:ascii="Calibri" w:hAnsi="Calibri"/>
                <w:b/>
                <w:i w:val="0"/>
                <w:color w:val="FFFFFF"/>
                <w:sz w:val="18"/>
              </w:rPr>
              <w:t>Maatregel</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1E3A6E"/>
            <w:tcMar>
              <w:top w:w="70" w:type="dxa"/>
              <w:bottom w:w="70" w:type="dxa"/>
              <w:left w:w="100" w:type="dxa"/>
              <w:right w:w="100" w:type="dxa"/>
            </w:tcMar>
          </w:tcPr>
          <w:p>
            <w:pPr>
              <w:spacing w:after="0"/>
            </w:pPr>
            <w:r>
              <w:rPr>
                <w:rFonts w:ascii="Calibri" w:hAnsi="Calibri"/>
                <w:b/>
                <w:i w:val="0"/>
                <w:color w:val="FFFFFF"/>
                <w:sz w:val="18"/>
              </w:rPr>
              <w:t>NIS2 Art.</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1E3A6E"/>
            <w:tcMar>
              <w:top w:w="70" w:type="dxa"/>
              <w:bottom w:w="70" w:type="dxa"/>
              <w:left w:w="100" w:type="dxa"/>
              <w:right w:w="100" w:type="dxa"/>
            </w:tcMar>
          </w:tcPr>
          <w:p>
            <w:pPr>
              <w:spacing w:after="0"/>
            </w:pPr>
            <w:r>
              <w:rPr>
                <w:rFonts w:ascii="Calibri" w:hAnsi="Calibri"/>
                <w:b/>
                <w:i w:val="0"/>
                <w:color w:val="FFFFFF"/>
                <w:sz w:val="18"/>
              </w:rPr>
              <w:t>Status</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1E3A6E"/>
            <w:tcMar>
              <w:top w:w="70" w:type="dxa"/>
              <w:bottom w:w="70" w:type="dxa"/>
              <w:left w:w="100" w:type="dxa"/>
              <w:right w:w="100" w:type="dxa"/>
            </w:tcMar>
          </w:tcPr>
          <w:p>
            <w:pPr>
              <w:spacing w:after="0"/>
            </w:pPr>
            <w:r>
              <w:rPr>
                <w:rFonts w:ascii="Calibri" w:hAnsi="Calibri"/>
                <w:b/>
                <w:i w:val="0"/>
                <w:color w:val="FFFFFF"/>
                <w:sz w:val="18"/>
              </w:rPr>
              <w:t>Verantwoordelijke</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1E3A6E"/>
            <w:tcMar>
              <w:top w:w="70" w:type="dxa"/>
              <w:bottom w:w="70" w:type="dxa"/>
              <w:left w:w="100" w:type="dxa"/>
              <w:right w:w="100" w:type="dxa"/>
            </w:tcMar>
          </w:tcPr>
          <w:p>
            <w:pPr>
              <w:spacing w:after="0"/>
            </w:pPr>
            <w:r>
              <w:rPr>
                <w:rFonts w:ascii="Calibri" w:hAnsi="Calibri"/>
                <w:b/>
                <w:i w:val="0"/>
                <w:color w:val="FFFFFF"/>
                <w:sz w:val="18"/>
              </w:rPr>
              <w:t>Doeldatum</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MFA op alle remote access en OT-beheer accounts</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EFF6FF"/>
            <w:tcMar>
              <w:top w:w="70" w:type="dxa"/>
              <w:bottom w:w="70" w:type="dxa"/>
              <w:left w:w="100" w:type="dxa"/>
              <w:right w:w="100" w:type="dxa"/>
            </w:tcMar>
          </w:tcPr>
          <w:p>
            <w:pPr>
              <w:spacing w:after="0"/>
            </w:pPr>
            <w:r>
              <w:rPr>
                <w:rFonts w:ascii="Calibri" w:hAnsi="Calibri"/>
                <w:b/>
                <w:i w:val="0"/>
                <w:color w:val="1D4ED8"/>
                <w:sz w:val="18"/>
              </w:rPr>
              <w:t>21(2)(j)</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DCFCE7"/>
            <w:tcMar>
              <w:top w:w="70" w:type="dxa"/>
              <w:bottom w:w="70" w:type="dxa"/>
              <w:left w:w="100" w:type="dxa"/>
              <w:right w:w="100" w:type="dxa"/>
            </w:tcMar>
          </w:tcPr>
          <w:p>
            <w:pPr>
              <w:spacing w:after="0"/>
            </w:pPr>
            <w:r>
              <w:rPr>
                <w:rFonts w:ascii="Calibri" w:hAnsi="Calibri"/>
                <w:b/>
                <w:i w:val="0"/>
                <w:color w:val="14532D"/>
                <w:sz w:val="20"/>
              </w:rPr>
              <w:t>Geïmplementeerd</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J. de Vries (IT)</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01-03-2026</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OT-IT netwerksegmentatie via dedicated DMZ</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EFF6FF"/>
            <w:tcMar>
              <w:top w:w="70" w:type="dxa"/>
              <w:bottom w:w="70" w:type="dxa"/>
              <w:left w:w="100" w:type="dxa"/>
              <w:right w:w="100" w:type="dxa"/>
            </w:tcMar>
          </w:tcPr>
          <w:p>
            <w:pPr>
              <w:spacing w:after="0"/>
            </w:pPr>
            <w:r>
              <w:rPr>
                <w:rFonts w:ascii="Calibri" w:hAnsi="Calibri"/>
                <w:b/>
                <w:i w:val="0"/>
                <w:color w:val="1D4ED8"/>
                <w:sz w:val="18"/>
              </w:rPr>
              <w:t>21(2)(e)</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FFBEB"/>
            <w:tcMar>
              <w:top w:w="70" w:type="dxa"/>
              <w:bottom w:w="70" w:type="dxa"/>
              <w:left w:w="100" w:type="dxa"/>
              <w:right w:w="100" w:type="dxa"/>
            </w:tcMar>
          </w:tcPr>
          <w:p>
            <w:pPr>
              <w:spacing w:after="0"/>
            </w:pPr>
            <w:r>
              <w:rPr>
                <w:rFonts w:ascii="Calibri" w:hAnsi="Calibri"/>
                <w:b/>
                <w:i w:val="0"/>
                <w:color w:val="92400E"/>
                <w:sz w:val="20"/>
              </w:rPr>
              <w:t>Gepland</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P. Smit (IT)</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01-06-2026</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Backup OT-configuraties + wekelijkse hersteltest</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EFF6FF"/>
            <w:tcMar>
              <w:top w:w="70" w:type="dxa"/>
              <w:bottom w:w="70" w:type="dxa"/>
              <w:left w:w="100" w:type="dxa"/>
              <w:right w:w="100" w:type="dxa"/>
            </w:tcMar>
          </w:tcPr>
          <w:p>
            <w:pPr>
              <w:spacing w:after="0"/>
            </w:pPr>
            <w:r>
              <w:rPr>
                <w:rFonts w:ascii="Calibri" w:hAnsi="Calibri"/>
                <w:b/>
                <w:i w:val="0"/>
                <w:color w:val="1D4ED8"/>
                <w:sz w:val="18"/>
              </w:rPr>
              <w:t>21(2)(c)</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DCFCE7"/>
            <w:tcMar>
              <w:top w:w="70" w:type="dxa"/>
              <w:bottom w:w="70" w:type="dxa"/>
              <w:left w:w="100" w:type="dxa"/>
              <w:right w:w="100" w:type="dxa"/>
            </w:tcMar>
          </w:tcPr>
          <w:p>
            <w:pPr>
              <w:spacing w:after="0"/>
            </w:pPr>
            <w:r>
              <w:rPr>
                <w:rFonts w:ascii="Calibri" w:hAnsi="Calibri"/>
                <w:b/>
                <w:i w:val="0"/>
                <w:color w:val="14532D"/>
                <w:sz w:val="20"/>
              </w:rPr>
              <w:t>Geïmplementeerd</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J. de Vries (IT)</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15-01-2026</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0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Security training OT-operators (jaarlijks)</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EFF6FF"/>
            <w:tcMar>
              <w:top w:w="70" w:type="dxa"/>
              <w:bottom w:w="70" w:type="dxa"/>
              <w:left w:w="100" w:type="dxa"/>
              <w:right w:w="100" w:type="dxa"/>
            </w:tcMar>
          </w:tcPr>
          <w:p>
            <w:pPr>
              <w:spacing w:after="0"/>
            </w:pPr>
            <w:r>
              <w:rPr>
                <w:rFonts w:ascii="Calibri" w:hAnsi="Calibri"/>
                <w:b/>
                <w:i w:val="0"/>
                <w:color w:val="1D4ED8"/>
                <w:sz w:val="18"/>
              </w:rPr>
              <w:t>21(2)(g)</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FFBEB"/>
            <w:tcMar>
              <w:top w:w="70" w:type="dxa"/>
              <w:bottom w:w="70" w:type="dxa"/>
              <w:left w:w="100" w:type="dxa"/>
              <w:right w:w="100" w:type="dxa"/>
            </w:tcMar>
          </w:tcPr>
          <w:p>
            <w:pPr>
              <w:spacing w:after="0"/>
            </w:pPr>
            <w:r>
              <w:rPr>
                <w:rFonts w:ascii="Calibri" w:hAnsi="Calibri"/>
                <w:b/>
                <w:i w:val="0"/>
                <w:color w:val="92400E"/>
                <w:sz w:val="20"/>
              </w:rPr>
              <w:t>Gepland</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HR + IT</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01-04-2026</w:t>
            </w:r>
          </w:p>
        </w:tc>
      </w:tr>
    </w:tbl>
    <w:p>
      <w:pPr>
        <w:spacing w:before="0" w:after="0"/>
      </w:pPr>
      <w:r>
        <w:br w:type="page"/>
      </w:r>
    </w:p>
    <w:p>
      <w:pPr>
        <w:spacing w:before="280" w:after="120"/>
        <w:keepNext w:val="1"/>
        <w:pBdr>
          <w:left w:val="single" w:sz="18" w:space="4" w:color="1c1c2e"/>
        </w:pBdr>
        <w:shd w:val="clear" w:color="auto" w:fill="F5F5F5"/>
        <w:ind w:left="180"/>
      </w:pPr>
      <w:r>
        <w:rPr>
          <w:rFonts w:ascii="Calibri" w:hAnsi="Calibri"/>
          <w:b/>
          <w:color w:val="1C1C2E"/>
          <w:sz w:val="20"/>
        </w:rPr>
        <w:t>8 · Conclusie &amp; Prioriteitenlijst Beveiligingsmaatregelen</w:t>
      </w:r>
      <w:r>
        <w:rPr>
          <w:rFonts w:ascii="Calibri" w:hAnsi="Calibri"/>
          <w:color w:val="1D4ED8"/>
          <w:sz w:val="16"/>
        </w:rPr>
        <w:t xml:space="preserve">    NIS2 Art. 21(2)  ·  ISO 27001 Cl. 6.1.3</w:t>
      </w:r>
    </w:p>
    <w:p>
      <w:pPr>
        <w:spacing w:before="0" w:after="160"/>
      </w:pPr>
      <w:r>
        <w:rPr>
          <w:rFonts w:ascii="Calibri" w:hAnsi="Calibri"/>
          <w:b w:val="0"/>
          <w:i w:val="0"/>
          <w:color w:val="374151"/>
          <w:sz w:val="22"/>
        </w:rPr>
        <w:t>Samenvatting van de prioritaire beveiligingsmaatregelen. Vul in op basis van uw ingevulde §3a en §3b. Dit overzicht vormt de basis voor management-rapportage en Board Briefing.</w:t>
      </w:r>
    </w:p>
    <w:tbl>
      <w:tblPr>
        <w:tblW w:type="auto" w:w="0"/>
        <w:tblLook w:firstColumn="1" w:firstRow="1" w:lastColumn="0" w:lastRow="0" w:noHBand="0" w:noVBand="1" w:val="04A0"/>
        <w:tblW w:w="8504" w:type="dxa"/>
        <w:jc w:val="left"/>
      </w:tblPr>
      <w:tblGrid>
        <w:gridCol w:w="700"/>
        <w:gridCol w:w="3200"/>
        <w:gridCol w:w="1400"/>
        <w:gridCol w:w="1504"/>
        <w:gridCol w:w="1700"/>
      </w:tblGrid>
      <w:tblGrid>
        <w:gridCol w:w="1701"/>
        <w:gridCol w:w="1701"/>
        <w:gridCol w:w="1701"/>
        <w:gridCol w:w="1701"/>
        <w:gridCol w:w="1701"/>
      </w:tblGrid>
      <w:tr>
        <w:trPr>
          <w:cantSplit w:val="1"/>
          <w:tblHeader/>
        </w:trPr>
        <w:tc>
          <w:tcPr>
            <w:tcW w:type="dxa" w:w="1701"/>
            <w:tcBorders>
              <w:top w:val="single" w:sz="4" w:space="0" w:color="E5E7EB"/>
              <w:bottom w:val="single" w:sz="4" w:space="0" w:color="E5E7EB"/>
              <w:left w:val="single" w:sz="4" w:space="0" w:color="E5E7EB"/>
              <w:right w:val="single" w:sz="4" w:space="0" w:color="E5E7EB"/>
            </w:tcBorders>
            <w:tcW w:w="700" w:type="dxa"/>
            <w:shd w:val="clear" w:color="auto" w:fill="1C1C2E"/>
            <w:tcMar>
              <w:top w:w="70" w:type="dxa"/>
              <w:bottom w:w="70" w:type="dxa"/>
              <w:left w:w="100" w:type="dxa"/>
              <w:right w:w="100" w:type="dxa"/>
            </w:tcMar>
          </w:tcPr>
          <w:p>
            <w:pPr>
              <w:spacing w:after="0"/>
            </w:pPr>
            <w:r>
              <w:rPr>
                <w:rFonts w:ascii="Calibri" w:hAnsi="Calibri"/>
                <w:b/>
                <w:i w:val="0"/>
                <w:color w:val="FFFFFF"/>
                <w:sz w:val="18"/>
              </w:rPr>
              <w:t>Nr</w:t>
            </w:r>
          </w:p>
        </w:tc>
        <w:tc>
          <w:tcPr>
            <w:tcW w:type="dxa" w:w="1701"/>
            <w:tcBorders>
              <w:top w:val="single" w:sz="4" w:space="0" w:color="E5E7EB"/>
              <w:bottom w:val="single" w:sz="4" w:space="0" w:color="E5E7EB"/>
              <w:left w:val="single" w:sz="4" w:space="0" w:color="E5E7EB"/>
              <w:right w:val="single" w:sz="4" w:space="0" w:color="E5E7EB"/>
            </w:tcBorders>
            <w:tcW w:w="3200" w:type="dxa"/>
            <w:shd w:val="clear" w:color="auto" w:fill="1C1C2E"/>
            <w:tcMar>
              <w:top w:w="70" w:type="dxa"/>
              <w:bottom w:w="70" w:type="dxa"/>
              <w:left w:w="100" w:type="dxa"/>
              <w:right w:w="100" w:type="dxa"/>
            </w:tcMar>
          </w:tcPr>
          <w:p>
            <w:pPr>
              <w:spacing w:after="0"/>
            </w:pPr>
            <w:r>
              <w:rPr>
                <w:rFonts w:ascii="Calibri" w:hAnsi="Calibri"/>
                <w:b/>
                <w:i w:val="0"/>
                <w:color w:val="FFFFFF"/>
                <w:sz w:val="18"/>
              </w:rPr>
              <w:t>Maatregel</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1C1C2E"/>
            <w:tcMar>
              <w:top w:w="70" w:type="dxa"/>
              <w:bottom w:w="70" w:type="dxa"/>
              <w:left w:w="100" w:type="dxa"/>
              <w:right w:w="100" w:type="dxa"/>
            </w:tcMar>
          </w:tcPr>
          <w:p>
            <w:pPr>
              <w:spacing w:after="0"/>
            </w:pPr>
            <w:r>
              <w:rPr>
                <w:rFonts w:ascii="Calibri" w:hAnsi="Calibri"/>
                <w:b/>
                <w:i w:val="0"/>
                <w:color w:val="FFFFFF"/>
                <w:sz w:val="18"/>
              </w:rPr>
              <w:t>Risico gereduceerd</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1C1C2E"/>
            <w:tcMar>
              <w:top w:w="70" w:type="dxa"/>
              <w:bottom w:w="70" w:type="dxa"/>
              <w:left w:w="100" w:type="dxa"/>
              <w:right w:w="100" w:type="dxa"/>
            </w:tcMar>
          </w:tcPr>
          <w:p>
            <w:pPr>
              <w:spacing w:after="0"/>
            </w:pPr>
            <w:r>
              <w:rPr>
                <w:rFonts w:ascii="Calibri" w:hAnsi="Calibri"/>
                <w:b/>
                <w:i w:val="0"/>
                <w:color w:val="FFFFFF"/>
                <w:sz w:val="18"/>
              </w:rPr>
              <w:t>Status</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1C1C2E"/>
            <w:tcMar>
              <w:top w:w="70" w:type="dxa"/>
              <w:bottom w:w="70" w:type="dxa"/>
              <w:left w:w="100" w:type="dxa"/>
              <w:right w:w="100" w:type="dxa"/>
            </w:tcMar>
          </w:tcPr>
          <w:p>
            <w:pPr>
              <w:spacing w:after="0"/>
            </w:pPr>
            <w:r>
              <w:rPr>
                <w:rFonts w:ascii="Calibri" w:hAnsi="Calibri"/>
                <w:b/>
                <w:i w:val="0"/>
                <w:color w:val="FFFFFF"/>
                <w:sz w:val="18"/>
              </w:rPr>
              <w:t>Verantwoordelijke</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700" w:type="dxa"/>
            <w:shd w:val="clear" w:color="auto" w:fill="EFF6FF"/>
            <w:tcMar>
              <w:top w:w="70" w:type="dxa"/>
              <w:bottom w:w="70" w:type="dxa"/>
              <w:left w:w="100" w:type="dxa"/>
              <w:right w:w="100" w:type="dxa"/>
            </w:tcMar>
          </w:tcPr>
          <w:p>
            <w:pPr>
              <w:spacing w:after="0"/>
            </w:pPr>
            <w:r>
              <w:rPr>
                <w:rFonts w:ascii="Calibri" w:hAnsi="Calibri"/>
                <w:b/>
                <w:i w:val="0"/>
                <w:color w:val="1D4ED8"/>
                <w:sz w:val="22"/>
              </w:rPr>
              <w:t>1</w:t>
            </w:r>
          </w:p>
        </w:tc>
        <w:tc>
          <w:tcPr>
            <w:tcW w:type="dxa" w:w="1701"/>
            <w:tcBorders>
              <w:top w:val="single" w:sz="4" w:space="0" w:color="E5E7EB"/>
              <w:bottom w:val="single" w:sz="4" w:space="0" w:color="E5E7EB"/>
              <w:left w:val="single" w:sz="4" w:space="0" w:color="E5E7EB"/>
              <w:right w:val="single" w:sz="4" w:space="0" w:color="E5E7EB"/>
            </w:tcBorders>
            <w:tcW w:w="32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700" w:type="dxa"/>
            <w:shd w:val="clear" w:color="auto" w:fill="EFF6FF"/>
            <w:tcMar>
              <w:top w:w="70" w:type="dxa"/>
              <w:bottom w:w="70" w:type="dxa"/>
              <w:left w:w="100" w:type="dxa"/>
              <w:right w:w="100" w:type="dxa"/>
            </w:tcMar>
          </w:tcPr>
          <w:p>
            <w:pPr>
              <w:spacing w:after="0"/>
            </w:pPr>
            <w:r>
              <w:rPr>
                <w:rFonts w:ascii="Calibri" w:hAnsi="Calibri"/>
                <w:b/>
                <w:i w:val="0"/>
                <w:color w:val="1D4ED8"/>
                <w:sz w:val="22"/>
              </w:rPr>
              <w:t>2</w:t>
            </w:r>
          </w:p>
        </w:tc>
        <w:tc>
          <w:tcPr>
            <w:tcW w:type="dxa" w:w="1701"/>
            <w:tcBorders>
              <w:top w:val="single" w:sz="4" w:space="0" w:color="E5E7EB"/>
              <w:bottom w:val="single" w:sz="4" w:space="0" w:color="E5E7EB"/>
              <w:left w:val="single" w:sz="4" w:space="0" w:color="E5E7EB"/>
              <w:right w:val="single" w:sz="4" w:space="0" w:color="E5E7EB"/>
            </w:tcBorders>
            <w:tcW w:w="32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{{INVULLEN}}</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700" w:type="dxa"/>
            <w:shd w:val="clear" w:color="auto" w:fill="EFF6FF"/>
            <w:tcMar>
              <w:top w:w="70" w:type="dxa"/>
              <w:bottom w:w="70" w:type="dxa"/>
              <w:left w:w="100" w:type="dxa"/>
              <w:right w:w="100" w:type="dxa"/>
            </w:tcMar>
          </w:tcPr>
          <w:p>
            <w:pPr>
              <w:spacing w:after="0"/>
            </w:pPr>
            <w:r>
              <w:rPr>
                <w:rFonts w:ascii="Calibri" w:hAnsi="Calibri"/>
                <w:b/>
                <w:i w:val="0"/>
                <w:color w:val="1D4ED8"/>
                <w:sz w:val="22"/>
              </w:rPr>
              <w:t>3</w:t>
            </w:r>
          </w:p>
        </w:tc>
        <w:tc>
          <w:tcPr>
            <w:tcW w:type="dxa" w:w="1701"/>
            <w:tcBorders>
              <w:top w:val="single" w:sz="4" w:space="0" w:color="E5E7EB"/>
              <w:bottom w:val="single" w:sz="4" w:space="0" w:color="E5E7EB"/>
              <w:left w:val="single" w:sz="4" w:space="0" w:color="E5E7EB"/>
              <w:right w:val="single" w:sz="4" w:space="0" w:color="E5E7EB"/>
            </w:tcBorders>
            <w:tcW w:w="32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700" w:type="dxa"/>
            <w:shd w:val="clear" w:color="auto" w:fill="EFF6FF"/>
            <w:tcMar>
              <w:top w:w="70" w:type="dxa"/>
              <w:bottom w:w="70" w:type="dxa"/>
              <w:left w:w="100" w:type="dxa"/>
              <w:right w:w="100" w:type="dxa"/>
            </w:tcMar>
          </w:tcPr>
          <w:p>
            <w:pPr>
              <w:spacing w:after="0"/>
            </w:pPr>
            <w:r>
              <w:rPr>
                <w:rFonts w:ascii="Calibri" w:hAnsi="Calibri"/>
                <w:b/>
                <w:i w:val="0"/>
                <w:color w:val="1D4ED8"/>
                <w:sz w:val="22"/>
              </w:rPr>
              <w:t>4</w:t>
            </w:r>
          </w:p>
        </w:tc>
        <w:tc>
          <w:tcPr>
            <w:tcW w:type="dxa" w:w="1701"/>
            <w:tcBorders>
              <w:top w:val="single" w:sz="4" w:space="0" w:color="E5E7EB"/>
              <w:bottom w:val="single" w:sz="4" w:space="0" w:color="E5E7EB"/>
              <w:left w:val="single" w:sz="4" w:space="0" w:color="E5E7EB"/>
              <w:right w:val="single" w:sz="4" w:space="0" w:color="E5E7EB"/>
            </w:tcBorders>
            <w:tcW w:w="32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{{INVULLEN}}</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700" w:type="dxa"/>
            <w:shd w:val="clear" w:color="auto" w:fill="EFF6FF"/>
            <w:tcMar>
              <w:top w:w="70" w:type="dxa"/>
              <w:bottom w:w="70" w:type="dxa"/>
              <w:left w:w="100" w:type="dxa"/>
              <w:right w:w="100" w:type="dxa"/>
            </w:tcMar>
          </w:tcPr>
          <w:p>
            <w:pPr>
              <w:spacing w:after="0"/>
            </w:pPr>
            <w:r>
              <w:rPr>
                <w:rFonts w:ascii="Calibri" w:hAnsi="Calibri"/>
                <w:b/>
                <w:i w:val="0"/>
                <w:color w:val="1D4ED8"/>
                <w:sz w:val="22"/>
              </w:rPr>
              <w:t>5</w:t>
            </w:r>
          </w:p>
        </w:tc>
        <w:tc>
          <w:tcPr>
            <w:tcW w:type="dxa" w:w="1701"/>
            <w:tcBorders>
              <w:top w:val="single" w:sz="4" w:space="0" w:color="E5E7EB"/>
              <w:bottom w:val="single" w:sz="4" w:space="0" w:color="E5E7EB"/>
              <w:left w:val="single" w:sz="4" w:space="0" w:color="E5E7EB"/>
              <w:right w:val="single" w:sz="4" w:space="0" w:color="E5E7EB"/>
            </w:tcBorders>
            <w:tcW w:w="32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r>
    </w:tbl>
    <w:p>
      <w:pPr>
        <w:spacing w:before="0" w:after="80"/>
      </w:pPr>
      <w:r>
        <w:rPr>
          <w:rFonts w:ascii="Calibri" w:hAnsi="Calibri"/>
          <w:b w:val="0"/>
          <w:i w:val="0"/>
          <w:color w:val="374151"/>
          <w:sz w:val="22"/>
        </w:rPr>
        <w:t>Overkoepelende status beveiligingsmaatregelen: {{X}} van {{Y}} technische maatregelen geïmplementeerd. {{X}} van {{Y}} organisatorische maatregelen geïmplementeerd. Verwachte compliance na implementatie prioritaire maatregelen: {{DATUM}}.</w:t>
      </w:r>
    </w:p>
    <w:p>
      <w:pPr>
        <w:spacing w:before="0" w:after="160"/>
      </w:pPr>
      <w:r>
        <w:rPr>
          <w:rFonts w:ascii="Calibri" w:hAnsi="Calibri"/>
          <w:b w:val="0"/>
          <w:i/>
          <w:color w:val="1D4ED8"/>
          <w:sz w:val="22"/>
        </w:rPr>
        <w:t>→ Volgende stap: Module 4 — Leveranciersbeveiliging — Documenteer de beveiligingseisen voor uw directe leveranciers en dienstverleners.</w:t>
      </w:r>
    </w:p>
    <w:p>
      <w:pPr>
        <w:spacing w:before="0" w:after="0"/>
      </w:pPr>
      <w:r>
        <w:br w:type="page"/>
      </w:r>
    </w:p>
    <w:p>
      <w:pPr>
        <w:spacing w:before="280" w:after="120"/>
        <w:keepNext w:val="1"/>
        <w:pBdr>
          <w:left w:val="single" w:sz="18" w:space="4" w:color="1c1c2e"/>
        </w:pBdr>
        <w:shd w:val="clear" w:color="auto" w:fill="F5F5F5"/>
        <w:ind w:left="180"/>
      </w:pPr>
      <w:r>
        <w:rPr>
          <w:rFonts w:ascii="Calibri" w:hAnsi="Calibri"/>
          <w:b/>
          <w:color w:val="1C1C2E"/>
          <w:sz w:val="20"/>
        </w:rPr>
        <w:t>9 · Verklaring &amp; Ondertekening</w:t>
      </w:r>
      <w:r>
        <w:rPr>
          <w:rFonts w:ascii="Calibri" w:hAnsi="Calibri"/>
          <w:color w:val="1D4ED8"/>
          <w:sz w:val="16"/>
        </w:rPr>
        <w:t xml:space="preserve">    NIS2 Art. 21(1)  ·  ISO 27001 Cl. 5.1</w:t>
      </w:r>
    </w:p>
    <w:p>
      <w:pPr>
        <w:spacing w:before="0" w:after="240"/>
      </w:pPr>
      <w:r>
        <w:rPr>
          <w:rFonts w:ascii="Calibri" w:hAnsi="Calibri"/>
          <w:b w:val="0"/>
          <w:i w:val="0"/>
          <w:color w:val="374151"/>
          <w:sz w:val="22"/>
        </w:rPr>
        <w:t>De ondergetekende verklaart dat de in dit document beschreven beveiligingsmaatregelen een accurate weergave vormen van de huidige en geplande stand van implementatie binnen de organisatie. Dit document is opgesteld als onderdeel van het NIS2 / Cyberbeveiligingswet compliance-programma en is beschikbaar voor inzage door bevoegde toezichthouders.</w:t>
      </w:r>
    </w:p>
    <w:tbl>
      <w:tblPr>
        <w:tblW w:type="auto" w:w="0"/>
        <w:tblLook w:firstColumn="1" w:firstRow="1" w:lastColumn="0" w:lastRow="0" w:noHBand="0" w:noVBand="1" w:val="04A0"/>
        <w:tblW w:w="8504" w:type="dxa"/>
        <w:jc w:val="left"/>
      </w:tblPr>
      <w:tblGrid>
        <w:gridCol w:w="4000"/>
        <w:gridCol w:w="4504"/>
      </w:tblGrid>
      <w:tblGrid>
        <w:gridCol w:w="4252"/>
        <w:gridCol w:w="4252"/>
      </w:tblGrid>
      <w:tr>
        <w:trPr>
          <w:cantSplit w:val="1"/>
          <w:tblHeader/>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Organisatienaam</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{{BEDRIJFSNAAM}}</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Naam ondertekenaar</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{{NAAM DIRECTEUR / CEO}}</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Functie</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{{FUNCTIE}}</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Handtekening &amp; datum</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 xml:space="preserve">  </w:t>
              <w:br/>
              <w:t xml:space="preserve">  </w:t>
              <w:br/>
              <w:t>{{HANDTEKENING}}  ·  Datum: {{DATUM}}</w:t>
            </w:r>
          </w:p>
        </w:tc>
      </w:tr>
    </w:tbl>
    <w:p>
      <w:pPr>
        <w:spacing w:before="0" w:after="80"/>
      </w:pPr>
      <w:r>
        <w:rPr>
          <w:rFonts w:ascii="Calibri" w:hAnsi="Calibri"/>
          <w:b w:val="0"/>
          <w:i/>
          <w:color w:val="6B7280"/>
          <w:sz w:val="18"/>
        </w:rPr>
        <w:t>Door ondertekening bevestigt de directie kennis te hebben genomen van de inhoud van dit document en de verantwoordelijkheid te dragen voor de implementatie van de beschreven beveiligingsmaatregelen.</w:t>
      </w:r>
    </w:p>
    <w:p>
      <w:pPr>
        <w:spacing w:before="0" w:after="0"/>
      </w:pPr>
      <w:r>
        <w:br w:type="page"/>
      </w:r>
    </w:p>
    <w:p>
      <w:pPr>
        <w:spacing w:before="0" w:after="0"/>
        <w:pBdr>
          <w:top w:val="single" w:sz="20" w:space="1" w:color="1c1c2e"/>
        </w:pBdr>
      </w:pPr>
    </w:p>
    <w:p>
      <w:pPr>
        <w:spacing w:before="800" w:after="0"/>
        <w:jc w:val="center"/>
      </w:pPr>
    </w:p>
    <w:p>
      <w:pPr>
        <w:spacing w:before="0" w:after="0"/>
        <w:jc w:val="center"/>
      </w:pPr>
      <w:r>
        <w:drawing>
          <wp:inline xmlns:a="http://schemas.openxmlformats.org/drawingml/2006/main" xmlns:pic="http://schemas.openxmlformats.org/drawingml/2006/picture">
            <wp:extent cx="2926080" cy="686479"/>
            <wp:docPr id="1" name="Picture 1"/>
            <wp:cNvGraphicFramePr>
              <a:graphicFrameLocks noChangeAspect="1"/>
            </wp:cNvGraphicFramePr>
            <a:graphic>
              <a:graphicData uri="http://schemas.openxmlformats.org/drawingml/2006/picture">
                <pic:pic>
                  <pic:nvPicPr>
                    <pic:cNvPr id="0" name="MKBTechGids_trimmed.png"/>
                    <pic:cNvPicPr/>
                  </pic:nvPicPr>
                  <pic:blipFill>
                    <a:blip r:embed="rId11"/>
                    <a:stretch>
                      <a:fillRect/>
                    </a:stretch>
                  </pic:blipFill>
                  <pic:spPr>
                    <a:xfrm>
                      <a:off x="0" y="0"/>
                      <a:ext cx="2926080" cy="686479"/>
                    </a:xfrm>
                    <a:prstGeom prst="rect"/>
                  </pic:spPr>
                </pic:pic>
              </a:graphicData>
            </a:graphic>
          </wp:inline>
        </w:drawing>
      </w:r>
    </w:p>
    <w:p>
      <w:pPr>
        <w:spacing w:before="480" w:after="0"/>
        <w:jc w:val="center"/>
      </w:pPr>
    </w:p>
    <w:p>
      <w:pPr>
        <w:spacing w:before="0" w:after="360"/>
        <w:pBdr>
          <w:bottom w:val="single" w:sz="4" w:space="1" w:color="e5e7eb"/>
        </w:pBdr>
      </w:pPr>
    </w:p>
    <w:p>
      <w:pPr>
        <w:spacing w:before="0" w:after="100"/>
        <w:jc w:val="center"/>
      </w:pPr>
      <w:r>
        <w:rPr>
          <w:rFonts w:ascii="Calibri" w:hAnsi="Calibri"/>
          <w:b w:val="0"/>
          <w:i/>
          <w:color w:val="6B7280"/>
          <w:sz w:val="18"/>
        </w:rPr>
        <w:t>Ontwikkeld en uitgegeven door</w:t>
      </w:r>
    </w:p>
    <w:p>
      <w:pPr>
        <w:spacing w:before="0" w:after="60"/>
        <w:jc w:val="center"/>
      </w:pPr>
      <w:r>
        <w:rPr>
          <w:rFonts w:ascii="Calibri" w:hAnsi="Calibri"/>
          <w:b/>
          <w:i w:val="0"/>
          <w:color w:val="1C1C2E"/>
          <w:sz w:val="36"/>
        </w:rPr>
        <w:t>MKBTechGids</w:t>
      </w:r>
    </w:p>
    <w:p>
      <w:pPr>
        <w:spacing w:before="0" w:after="40"/>
        <w:jc w:val="center"/>
      </w:pPr>
      <w:r>
        <w:rPr>
          <w:rFonts w:ascii="Calibri" w:hAnsi="Calibri"/>
          <w:b w:val="0"/>
          <w:i/>
          <w:color w:val="14532D"/>
          <w:sz w:val="20"/>
        </w:rPr>
        <w:t>Technologie met vertrouwen</w:t>
      </w:r>
      <w:r>
        <w:rPr>
          <w:rFonts w:ascii="Calibri" w:hAnsi="Calibri"/>
          <w:b w:val="0"/>
          <w:i w:val="0"/>
          <w:color w:val="D1D5DB"/>
          <w:sz w:val="20"/>
        </w:rPr>
        <w:t xml:space="preserve">   ·   </w:t>
      </w:r>
      <w:r>
        <w:rPr>
          <w:rFonts w:ascii="Calibri" w:hAnsi="Calibri"/>
          <w:b w:val="0"/>
          <w:i w:val="0"/>
          <w:color w:val="6B7280"/>
          <w:sz w:val="18"/>
        </w:rPr>
        <w:t xml:space="preserve">onderdeel van </w:t>
      </w:r>
      <w:r>
        <w:rPr>
          <w:rFonts w:ascii="Calibri" w:hAnsi="Calibri"/>
          <w:b/>
          <w:i w:val="0"/>
          <w:color w:val="1C1C2E"/>
          <w:sz w:val="18"/>
        </w:rPr>
        <w:t>TechLeadNL</w:t>
      </w:r>
    </w:p>
    <w:p>
      <w:pPr>
        <w:spacing w:before="400" w:after="0"/>
        <w:jc w:val="center"/>
      </w:pPr>
    </w:p>
    <w:tbl>
      <w:tblPr>
        <w:tblW w:type="auto" w:w="0"/>
        <w:tblLook w:firstColumn="1" w:firstRow="1" w:lastColumn="0" w:lastRow="0" w:noHBand="0" w:noVBand="1" w:val="04A0"/>
        <w:tblW w:w="8504" w:type="dxa"/>
        <w:jc w:val="left"/>
        <w:jc w:val="center"/>
      </w:tblPr>
      <w:tblGrid>
        <w:gridCol w:w="4252"/>
        <w:gridCol w:w="4252"/>
      </w:tblGrid>
      <w:tblGrid>
        <w:gridCol w:w="4252"/>
        <w:gridCol w:w="4252"/>
      </w:tblGrid>
      <w:tr>
        <w:trPr>
          <w:cantSplit w:val="1"/>
          <w:tblHeader/>
        </w:trPr>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color w:val="1C1C2E"/>
                <w:sz w:val="20"/>
              </w:rPr>
              <w:t>mkbtechgids.nl</w:t>
            </w:r>
          </w:p>
        </w:tc>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color w:val="1C1C2E"/>
                <w:sz w:val="20"/>
              </w:rPr>
              <w:t>techleadnl.nl</w:t>
            </w:r>
          </w:p>
        </w:tc>
      </w:tr>
      <w:tr>
        <w:trPr>
          <w:cantSplit w:val="1"/>
        </w:trPr>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val="0"/>
                <w:color w:val="1C1C2E"/>
                <w:sz w:val="18"/>
              </w:rPr>
              <w:t>info@mkbtechgids.nl</w:t>
            </w:r>
          </w:p>
        </w:tc>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val="0"/>
                <w:color w:val="1C1C2E"/>
                <w:sz w:val="18"/>
              </w:rPr>
              <w:t>Brielle, Zuid-Holland · Nederland</w:t>
            </w:r>
          </w:p>
        </w:tc>
      </w:tr>
      <w:tr>
        <w:trPr>
          <w:cantSplit w:val="1"/>
        </w:trPr>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val="0"/>
                <w:color w:val="6B7280"/>
                <w:sz w:val="18"/>
              </w:rPr>
              <w:t>NIS2 Compliance Toolkit · Versie 1.0 · 2026</w:t>
            </w:r>
          </w:p>
        </w:tc>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val="0"/>
                <w:color w:val="6B7280"/>
                <w:sz w:val="18"/>
              </w:rPr>
              <w:t>Module 3 — Beveiligingsmaatregelen</w:t>
            </w:r>
          </w:p>
        </w:tc>
      </w:tr>
    </w:tbl>
    <w:p>
      <w:pPr>
        <w:spacing w:before="440" w:after="0"/>
        <w:jc w:val="center"/>
      </w:pPr>
    </w:p>
    <w:p>
      <w:pPr>
        <w:spacing w:before="0" w:after="120"/>
        <w:jc w:val="center"/>
      </w:pPr>
      <w:r>
        <w:rPr>
          <w:rFonts w:ascii="Calibri" w:hAnsi="Calibri"/>
          <w:b w:val="0"/>
          <w:i/>
          <w:color w:val="14532D"/>
          <w:sz w:val="18"/>
        </w:rPr>
        <w:t>✓  Gratis regelgevingsupdates gedurende 12 maanden na aankoop</w:t>
      </w:r>
    </w:p>
    <w:p>
      <w:pPr>
        <w:spacing w:before="0" w:after="560"/>
        <w:jc w:val="center"/>
      </w:pPr>
      <w:r>
        <w:rPr>
          <w:rFonts w:ascii="Calibri" w:hAnsi="Calibri"/>
          <w:b w:val="0"/>
          <w:i w:val="0"/>
          <w:color w:val="D1D5DB"/>
          <w:sz w:val="16"/>
        </w:rPr>
        <w:t>Licentie voor één entiteit  ·  Niet voor doorverkoop of herverspreiding</w:t>
      </w:r>
    </w:p>
    <w:p>
      <w:pPr>
        <w:spacing w:before="0" w:after="160"/>
        <w:pBdr>
          <w:top w:val="single" w:sz="16" w:space="1" w:color="1c1c2e"/>
        </w:pBdr>
      </w:pPr>
    </w:p>
    <w:p>
      <w:pPr>
        <w:spacing w:before="160" w:after="0"/>
        <w:jc w:val="center"/>
      </w:pPr>
      <w:r>
        <w:rPr>
          <w:rFonts w:ascii="Calibri" w:hAnsi="Calibri"/>
          <w:b w:val="0"/>
          <w:i w:val="0"/>
          <w:color w:val="6B7280"/>
          <w:sz w:val="16"/>
        </w:rPr>
        <w:t xml:space="preserve">KVK </w:t>
      </w:r>
      <w:r>
        <w:rPr>
          <w:rFonts w:ascii="Calibri" w:hAnsi="Calibri"/>
          <w:b/>
          <w:i w:val="0"/>
          <w:color w:val="1C1C2E"/>
          <w:sz w:val="16"/>
        </w:rPr>
        <w:t>27348456</w:t>
      </w:r>
      <w:r>
        <w:rPr>
          <w:rFonts w:ascii="Calibri" w:hAnsi="Calibri"/>
          <w:b w:val="0"/>
          <w:i w:val="0"/>
          <w:color w:val="D1D5DB"/>
          <w:sz w:val="16"/>
        </w:rPr>
        <w:t xml:space="preserve">   ·   </w:t>
      </w:r>
      <w:r>
        <w:rPr>
          <w:rFonts w:ascii="Calibri" w:hAnsi="Calibri"/>
          <w:b w:val="0"/>
          <w:i w:val="0"/>
          <w:color w:val="6B7280"/>
          <w:sz w:val="16"/>
        </w:rPr>
        <w:t xml:space="preserve">BTW </w:t>
      </w:r>
      <w:r>
        <w:rPr>
          <w:rFonts w:ascii="Calibri" w:hAnsi="Calibri"/>
          <w:b/>
          <w:i w:val="0"/>
          <w:color w:val="1C1C2E"/>
          <w:sz w:val="16"/>
        </w:rPr>
        <w:t>NL004968309B61</w:t>
      </w:r>
    </w:p>
    <w:sectPr w:rsidR="00FC693F" w:rsidRPr="0006063C" w:rsidSect="00034616">
      <w:headerReference w:type="default" r:id="rId9"/>
      <w:footerReference w:type="default" r:id="rId10"/>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W w:w="8504" w:type="dxa"/>
      <w:jc w:val="left"/>
    </w:tblPr>
    <w:tblGrid>
      <w:gridCol w:w="3000"/>
      <w:gridCol w:w="3000"/>
      <w:gridCol w:w="2504"/>
    </w:tblGrid>
    <w:tblGrid>
      <w:gridCol w:w="3024"/>
      <w:gridCol w:w="3024"/>
      <w:gridCol w:w="3024"/>
    </w:tblGrid>
    <w:tr>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3000" w:type="dxa"/>
          <w:shd w:val="clear" w:color="auto" w:fill="F5F5F5"/>
          <w:tcMar>
            <w:top w:w="50" w:type="dxa"/>
            <w:bottom w:w="50" w:type="dxa"/>
            <w:left w:w="100" w:type="dxa"/>
            <w:right w:w="100" w:type="dxa"/>
          </w:tcMar>
        </w:tcPr>
        <w:p>
          <w:pPr>
            <w:jc w:val="left"/>
          </w:pPr>
          <w:r>
            <w:rPr>
              <w:rFonts w:ascii="Calibri" w:hAnsi="Calibri"/>
              <w:color w:val="6B7280"/>
              <w:sz w:val="14"/>
            </w:rPr>
            <w:t>{{BEDRIJFSNAAM}}  ·  Vertrouwelijk</w:t>
          </w:r>
        </w:p>
      </w:tc>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3000" w:type="dxa"/>
          <w:shd w:val="clear" w:color="auto" w:fill="F5F5F5"/>
          <w:tcMar>
            <w:top w:w="50" w:type="dxa"/>
            <w:bottom w:w="50" w:type="dxa"/>
            <w:left w:w="100" w:type="dxa"/>
            <w:right w:w="100" w:type="dxa"/>
          </w:tcMar>
        </w:tcPr>
        <w:p>
          <w:pPr>
            <w:jc w:val="center"/>
          </w:pPr>
          <w:r>
            <w:rPr>
              <w:rFonts w:ascii="Calibri" w:hAnsi="Calibri"/>
              <w:color w:val="1D4ED8"/>
              <w:sz w:val="14"/>
            </w:rPr>
            <w:t>NIS2 Art. 21(2)(a)  ·  ISO 27001 Cl. 6.1</w:t>
          </w:r>
        </w:p>
      </w:tc>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2504" w:type="dxa"/>
          <w:shd w:val="clear" w:color="auto" w:fill="F5F5F5"/>
          <w:tcMar>
            <w:top w:w="50" w:type="dxa"/>
            <w:bottom w:w="50" w:type="dxa"/>
            <w:left w:w="100" w:type="dxa"/>
            <w:right w:w="100" w:type="dxa"/>
          </w:tcMar>
        </w:tcPr>
        <w:p>
          <w:pPr>
            <w:jc w:val="right"/>
          </w:pPr>
          <w:r>
            <w:rPr>
              <w:rFonts w:ascii="Calibri" w:hAnsi="Calibri"/>
              <w:color w:val="6B7280"/>
              <w:sz w:val="14"/>
            </w:rPr>
            <w:t xml:space="preserve">v1.0  ·  </w:t>
          </w:r>
          <w:r>
            <w:rPr>
              <w:rFonts w:ascii="Calibri" w:hAnsi="Calibri"/>
              <w:color w:val="6B7280"/>
              <w:sz w:val="14"/>
            </w:rPr>
            <w:fldChar w:fldCharType="begin"/>
            <w:instrText>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W w:w="8504" w:type="dxa"/>
      <w:jc w:val="left"/>
    </w:tblPr>
    <w:tblGrid>
      <w:gridCol w:w="2200"/>
      <w:gridCol w:w="4100"/>
      <w:gridCol w:w="2204"/>
    </w:tblGrid>
    <w:tblGrid>
      <w:gridCol w:w="3024"/>
      <w:gridCol w:w="3024"/>
      <w:gridCol w:w="3024"/>
    </w:tblGrid>
    <w:tr>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2200" w:type="dxa"/>
          <w:shd w:val="clear" w:color="auto" w:fill="F5F5F5"/>
          <w:tcMar>
            <w:top w:w="60" w:type="dxa"/>
            <w:bottom w:w="60" w:type="dxa"/>
            <w:left w:w="100" w:type="dxa"/>
            <w:right w:w="100" w:type="dxa"/>
          </w:tcMar>
        </w:tcPr>
        <w:p>
          <w:pPr>
            <w:jc w:val="left"/>
          </w:pPr>
          <w:r>
            <w:rPr>
              <w:rFonts w:ascii="Calibri" w:hAnsi="Calibri"/>
              <w:b/>
              <w:color w:val="1C1C2E"/>
              <w:sz w:val="16"/>
            </w:rPr>
            <w:t>NIS2  ·  M03</w:t>
          </w:r>
        </w:p>
      </w:tc>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100" w:type="dxa"/>
          <w:shd w:val="clear" w:color="auto" w:fill="F5F5F5"/>
          <w:tcMar>
            <w:top w:w="60" w:type="dxa"/>
            <w:bottom w:w="60" w:type="dxa"/>
            <w:left w:w="100" w:type="dxa"/>
            <w:right w:w="100" w:type="dxa"/>
          </w:tcMar>
        </w:tcPr>
        <w:p>
          <w:pPr>
            <w:jc w:val="center"/>
          </w:pPr>
          <w:r>
            <w:rPr>
              <w:rFonts w:ascii="Calibri" w:hAnsi="Calibri"/>
              <w:color w:val="374151"/>
              <w:sz w:val="16"/>
            </w:rPr>
            <w:t>Beveiligingsmaatregelen — NIS2 Module 3</w:t>
          </w:r>
        </w:p>
      </w:tc>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2204" w:type="dxa"/>
          <w:shd w:val="clear" w:color="auto" w:fill="F5F5F5"/>
          <w:tcMar>
            <w:top w:w="60" w:type="dxa"/>
            <w:bottom w:w="60" w:type="dxa"/>
            <w:left w:w="100" w:type="dxa"/>
            <w:right w:w="100" w:type="dxa"/>
          </w:tcMar>
        </w:tcPr>
        <w:p>
          <w:pPr>
            <w:jc w:val="right"/>
          </w:pPr>
          <w:r>
            <w:rPr>
              <w:rFonts w:ascii="Calibri" w:hAnsi="Calibri"/>
              <w:i/>
              <w:color w:val="6B7280"/>
              <w:sz w:val="14"/>
            </w:rPr>
            <w:t>[ LOGO BEDRIJF ]</w:t>
          </w:r>
        </w:p>
      </w:tc>
    </w:tr>
  </w:tbl>
  <w:p>
    <w:pPr>
      <w:spacing w:before="0" w:after="0"/>
      <w:pBdr>
        <w:bottom w:val="single" w:sz="6" w:space="1" w:color="1c1c2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rPr>
      <w:rFonts w:ascii="Calibri" w:hAnsi="Calibri"/>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rPr>
      <w:rFonts w:ascii="Calibri" w:hAnsi="Calibri"/>
      <w:sz w:val="22"/>
    </w:rPr>
  </w:style>
  <w:style w:type="paragraph" w:styleId="BodyText2">
    <w:name w:val="Body Text 2"/>
    <w:basedOn w:val="Normal"/>
    <w:link w:val="BodyText2Char"/>
    <w:uiPriority w:val="99"/>
    <w:unhideWhenUsed/>
    <w:rsid w:val="00AA1D8D"/>
    <w:pPr>
      <w:spacing w:after="120" w:line="480" w:lineRule="auto"/>
    </w:pPr>
    <w:rPr>
      <w:rFonts w:ascii="Calibri" w:hAnsi="Calibri"/>
      <w:sz w:val="22"/>
    </w:rPr>
  </w:style>
  <w:style w:type="character" w:customStyle="1" w:styleId="BodyText2Char">
    <w:name w:val="Body Text 2 Char"/>
    <w:basedOn w:val="DefaultParagraphFont"/>
    <w:link w:val="BodyText2"/>
    <w:uiPriority w:val="99"/>
    <w:rsid w:val="00AA1D8D"/>
    <w:rPr>
      <w:rFonts w:ascii="Calibri" w:hAnsi="Calibri"/>
      <w:sz w:val="22"/>
    </w:rPr>
  </w:style>
  <w:style w:type="paragraph" w:styleId="BodyText3">
    <w:name w:val="Body Text 3"/>
    <w:basedOn w:val="Normal"/>
    <w:link w:val="BodyText3Char"/>
    <w:uiPriority w:val="99"/>
    <w:unhideWhenUsed/>
    <w:rsid w:val="00AA1D8D"/>
    <w:pPr>
      <w:spacing w:after="120"/>
    </w:pPr>
    <w:rPr>
      <w:rFonts w:ascii="Calibri" w:hAnsi="Calibri"/>
      <w:sz w:val="22"/>
      <w:szCs w:val="16"/>
    </w:rPr>
  </w:style>
  <w:style w:type="character" w:customStyle="1" w:styleId="BodyText3Char">
    <w:name w:val="Body Text 3 Char"/>
    <w:basedOn w:val="DefaultParagraphFont"/>
    <w:link w:val="BodyText3"/>
    <w:uiPriority w:val="99"/>
    <w:rsid w:val="00AA1D8D"/>
    <w:rPr>
      <w:rFonts w:ascii="Calibri" w:hAnsi="Calibri"/>
      <w:sz w:val="22"/>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