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6000"/>
        <w:gridCol w:w="2504"/>
      </w:tblGrid>
      <w:tblGrid>
        <w:gridCol w:w="4252"/>
        <w:gridCol w:w="4252"/>
      </w:tblGrid>
      <w:tr>
        <w:trPr>
          <w:cantSplit w:val="1"/>
          <w:tblHeader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6000" w:type="dxa"/>
            <w:shd w:val="clear" w:color="auto" w:fill="1C1C2E"/>
            <w:tcMar>
              <w:top w:w="160" w:type="dxa"/>
              <w:bottom w:w="160" w:type="dxa"/>
              <w:left w:w="20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9CA3AF"/>
                <w:sz w:val="18"/>
              </w:rPr>
              <w:t>MODULE 5</w:t>
            </w:r>
          </w:p>
          <w:p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Bedrijfscontinuïteit &amp; Herstel</w:t>
            </w:r>
          </w:p>
          <w:p>
            <w:r>
              <w:rPr>
                <w:rFonts w:ascii="Calibri" w:hAnsi="Calibri"/>
                <w:b w:val="0"/>
                <w:i w:val="0"/>
                <w:color w:val="9CA3AF"/>
                <w:sz w:val="18"/>
              </w:rPr>
              <w:t>Backup · Disaster Recovery · Crisismanagement  ·  NIS2 Art. 21(2)(c)  ·  ISO 27001 A.8.13/A.5.29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2504" w:type="dxa"/>
            <w:shd w:val="clear" w:color="auto" w:fill="1C1C2E"/>
            <w:tcMar>
              <w:top w:w="160" w:type="dxa"/>
              <w:bottom w:w="160" w:type="dxa"/>
              <w:left w:w="120" w:type="dxa"/>
              <w:right w:w="20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9CA3AF"/>
                <w:sz w:val="20"/>
              </w:rPr>
              <w:t>MKBTechGids</w:t>
            </w:r>
          </w:p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B7280"/>
                <w:sz w:val="16"/>
              </w:rPr>
              <w:t>NIS2 Compliance Toolkit</w:t>
            </w:r>
          </w:p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B7280"/>
                <w:sz w:val="16"/>
              </w:rPr>
              <w:t>v1.0  ·  2026</w:t>
            </w:r>
          </w:p>
        </w:tc>
      </w:tr>
    </w:tbl>
    <w:p>
      <w:pPr>
        <w:spacing w:before="160" w:after="0"/>
      </w:pPr>
    </w:p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1 · Doel &amp; Reikwijdte</w:t>
      </w:r>
      <w:r>
        <w:rPr>
          <w:rFonts w:ascii="Calibri" w:hAnsi="Calibri"/>
          <w:color w:val="1D4ED8"/>
          <w:sz w:val="16"/>
        </w:rPr>
        <w:t xml:space="preserve">    NIS2 Art. 21(2)(c)  ·  ISO 27001 Cl. A.5.29, A.5.30, A.8.13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2400"/>
        <w:gridCol w:w="6104"/>
      </w:tblGrid>
      <w:tblGrid>
        <w:gridCol w:w="4252"/>
        <w:gridCol w:w="4252"/>
      </w:tblGrid>
      <w:tr>
        <w:trPr>
          <w:cantSplit w:val="1"/>
          <w:tblHeader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Doel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Dit module documenteert hoe uw organisatie de bedrijfscontinuïteit borgt bij cyberincidenten. Het omvat de Business Impact Analysis (BIA), backupstrategie, Disaster Recovery Plan (DRP) en crisismanagement — conform NIS2 Art. 21(2)(c).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Reikwijdte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Alle kritieke bedrijfsprocessen, informatiesystemen en infrastructuur binnen de NIS2-scope zoals vastgesteld in Module 1. Prioriteit: processen met de grootste operationele impact bij uitval.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Relatie andere modules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Input: Module 1 (scope + kritieke diensten) + Module 2 (BCM-risico's) + Module 3 §3a (backup)</w:t>
              <w:br/>
              <w:t>Companion: Module 3 (technische maatregelen) + Module 6 (incidentrespons)</w:t>
              <w:br/>
              <w:t>Output: Aantoonbaar BCP/DRP voor toezichthouder (NIS2 Art. 21(2)(c))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Verplichte voorwaarden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☐ Module 1 Zelfevaluatie: VOLTOOID</w:t>
              <w:br/>
              <w:t>☐ Module 2 Risicoanalyse (BCM-risico's): VOLTOOID</w:t>
              <w:br/>
              <w:t>☐ Module 3 Beveiligingsmaatregelen (backup §3a): VOLTOOID</w:t>
              <w:br/>
              <w:t>☐ Lijst van kritieke bedrijfsprocessen: BESCHIKBAAR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Geschatte invultijd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±3–4 uur  |  Vereist input van IT-beheerder en proceseigenaren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Eigenaar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{{NAAM BCP-COÖRDINATOR}}  ·  Datum: {{DATUM}}  ·  Versie: 1.0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2 · RACI-tabel — Verantwoordelijkheden</w:t>
      </w:r>
      <w:r>
        <w:rPr>
          <w:rFonts w:ascii="Calibri" w:hAnsi="Calibri"/>
          <w:color w:val="1D4ED8"/>
          <w:sz w:val="16"/>
        </w:rPr>
        <w:t xml:space="preserve">    NIS2 Art. 21(1)  ·  ISO 27001 Cl. A.5.2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3204"/>
        <w:gridCol w:w="1200"/>
        <w:gridCol w:w="1200"/>
        <w:gridCol w:w="1200"/>
        <w:gridCol w:w="1700"/>
      </w:tblGrid>
      <w:tblGrid>
        <w:gridCol w:w="1701"/>
        <w:gridCol w:w="1701"/>
        <w:gridCol w:w="1701"/>
        <w:gridCol w:w="1701"/>
        <w:gridCol w:w="1701"/>
      </w:tblGrid>
      <w:tr>
        <w:trPr>
          <w:cantSplit w:val="1"/>
          <w:tblHeader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Activiteit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Directie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 / BCP-coörd.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Dept-hoofden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Extern (DRP)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Business Impact Analysis &amp; BCP opstellen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DCF5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A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C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I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Backupbeleid vaststellen en naleven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DCF5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A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I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I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Disaster Recovery Plan uitvoeren (technisch)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DCF5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A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I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R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Crisismanagement en communicatie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DCF5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A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C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C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Jaarlijkse BCP/DRP-oefening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DCF5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A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C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C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i/>
          <w:color w:val="6B7280"/>
          <w:sz w:val="18"/>
        </w:rPr>
        <w:t>R = Responsible  ·  A = Accountable  ·  C = Consulted  ·  I = Informed</w:t>
      </w:r>
    </w:p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3 · Bedrijfscontinuïteitsplanning</w:t>
      </w:r>
      <w:r>
        <w:rPr>
          <w:rFonts w:ascii="Calibri" w:hAnsi="Calibri"/>
          <w:color w:val="1D4ED8"/>
          <w:sz w:val="16"/>
        </w:rPr>
        <w:t xml:space="preserve">    NIS2 Art. 21(2)(c)  ·  ISO 27001 Cl. A.5.29, A.5.30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374151"/>
          <w:sz w:val="22"/>
        </w:rPr>
        <w:t>De bedrijfscontinuïteitsplanning bestaat uit vier componenten: (a) Business Impact Analysis, (b) backupstrategie, (c) Disaster Recovery Plan en (d) crisismanagement. Samen vormen zij het BCP-dossier dat NIS2 Art. 21(2)(c) vereist.</w:t>
      </w:r>
    </w:p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3a · Business Impact Analysis (BIA) — Kritieke processen</w:t>
      </w:r>
      <w:r>
        <w:rPr>
          <w:rFonts w:ascii="Calibri" w:hAnsi="Calibri"/>
          <w:color w:val="1D4ED8"/>
          <w:sz w:val="16"/>
        </w:rPr>
        <w:t xml:space="preserve">    NIS2 Art. 21(2)(c)  ·  ISO 27001 Cl. A.5.29</w:t>
      </w:r>
    </w:p>
    <w:p>
      <w:pPr>
        <w:spacing w:before="0" w:after="120"/>
      </w:pPr>
      <w:r>
        <w:rPr>
          <w:rFonts w:ascii="Calibri" w:hAnsi="Calibri"/>
          <w:b w:val="0"/>
          <w:i/>
          <w:color w:val="6B7280"/>
          <w:sz w:val="20"/>
        </w:rPr>
        <w:t>Identificeer de kritieke bedrijfsprocessen en bepaal per proces de maximale uitvalduur (RTO) en het maximaal acceptabele dataverlies (RPO). RTO = Recovery Time Objective (hoelang mag het duren?) · RPO = Recovery Point Objective (hoeveel data mag verloren gaan?)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2200"/>
        <w:gridCol w:w="1100"/>
        <w:gridCol w:w="1100"/>
        <w:gridCol w:w="1604"/>
        <w:gridCol w:w="1400"/>
        <w:gridCol w:w="1100"/>
      </w:tblGrid>
      <w:tblGrid>
        <w:gridCol w:w="1417"/>
        <w:gridCol w:w="1417"/>
        <w:gridCol w:w="1417"/>
        <w:gridCol w:w="1417"/>
        <w:gridCol w:w="1417"/>
        <w:gridCol w:w="1417"/>
      </w:tblGrid>
      <w:tr>
        <w:trPr>
          <w:cantSplit w:val="1"/>
          <w:tblHeader/>
        </w:trPr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Kritiek bedrijfsproces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RTO</w:t>
              <w:br/>
              <w:t>(max uitval)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RPO</w:t>
              <w:br/>
              <w:t>(max dataverlies)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4" w:type="dxa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Afhankelijke systemen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Impact bij uitval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Backup aanwezig?</w:t>
            </w:r>
          </w:p>
        </w:tc>
      </w:tr>
      <w:tr>
        <w:trPr>
          <w:cantSplit w:val="1"/>
        </w:trPr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Email &amp; communicatie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4 uur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 uur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Mailserver / M365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92400E"/>
                <w:sz w:val="18"/>
              </w:rPr>
              <w:t>Hoog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{{Ja/Nee}}</w:t>
            </w:r>
          </w:p>
        </w:tc>
      </w:tr>
      <w:tr>
        <w:trPr>
          <w:cantSplit w:val="1"/>
        </w:trPr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ERP / boekhouding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8 uur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4 uur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ERP-systeem, database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DC2626"/>
                <w:sz w:val="18"/>
              </w:rPr>
              <w:t>Kritiek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{{Ja/Nee}}</w:t>
            </w:r>
          </w:p>
        </w:tc>
      </w:tr>
      <w:tr>
        <w:trPr>
          <w:cantSplit w:val="1"/>
        </w:trPr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CRM / klantdata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24 uur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8 uur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CRM-platform, database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92400E"/>
                <w:sz w:val="18"/>
              </w:rPr>
              <w:t>Hoog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{{Ja/Nee}}</w:t>
            </w:r>
          </w:p>
        </w:tc>
      </w:tr>
      <w:tr>
        <w:trPr>
          <w:cantSplit w:val="1"/>
        </w:trPr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Website / klantportaal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4 uur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 uur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Webserver, CDN, DNS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Middel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{{Ja/Nee}}</w:t>
            </w:r>
          </w:p>
        </w:tc>
      </w:tr>
      <w:tr>
        <w:trPr>
          <w:cantSplit w:val="1"/>
        </w:trPr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OT / productiesysteem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 uur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15 min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SCADA/PLC, historian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DC2626"/>
                <w:sz w:val="18"/>
              </w:rPr>
              <w:t>Kritiek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{{Ja/Nee}}</w:t>
            </w:r>
          </w:p>
        </w:tc>
      </w:tr>
      <w:tr>
        <w:trPr>
          <w:cantSplit w:val="1"/>
        </w:trPr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Bestandsopslag / data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2 uur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 uur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NAS/cloud-opslag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92400E"/>
                <w:sz w:val="18"/>
              </w:rPr>
              <w:t>Hoog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{{Ja/Nee}}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3b · Backupstrategie — 3-2-1 methode &amp; hersteltest</w:t>
      </w:r>
      <w:r>
        <w:rPr>
          <w:rFonts w:ascii="Calibri" w:hAnsi="Calibri"/>
          <w:color w:val="1D4ED8"/>
          <w:sz w:val="16"/>
        </w:rPr>
        <w:t xml:space="preserve">    NIS2 Art. 21(2)(c)  ·  ISO 27001 Cl. A.8.13</w:t>
      </w:r>
    </w:p>
    <w:p>
      <w:pPr>
        <w:spacing w:before="0" w:after="120"/>
      </w:pPr>
      <w:r>
        <w:rPr>
          <w:rFonts w:ascii="Calibri" w:hAnsi="Calibri"/>
          <w:b w:val="0"/>
          <w:i/>
          <w:color w:val="6B7280"/>
          <w:sz w:val="20"/>
        </w:rPr>
        <w:t>Alle kritieke systemen voldoen aan de 3-2-1-E backupregel: 3 kopieën · 2 verschillende opslagmedia · 1 kopie offsite · encryptie (AES-256). Hersteltests zijn verplicht — een ongeteste backup is geen backup.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1900"/>
        <w:gridCol w:w="1000"/>
        <w:gridCol w:w="1100"/>
        <w:gridCol w:w="1000"/>
        <w:gridCol w:w="1104"/>
        <w:gridCol w:w="1200"/>
        <w:gridCol w:w="1200"/>
      </w:tblGrid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rPr>
          <w:cantSplit w:val="1"/>
          <w:tblHeader/>
        </w:trPr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900" w:type="dxa"/>
            <w:shd w:val="clear" w:color="auto" w:fill="1E3A6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Systeem / data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000" w:type="dxa"/>
            <w:shd w:val="clear" w:color="auto" w:fill="1E3A6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Backup type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1E3A6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Frequentie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000" w:type="dxa"/>
            <w:shd w:val="clear" w:color="auto" w:fill="1E3A6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Retentie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4" w:type="dxa"/>
            <w:shd w:val="clear" w:color="auto" w:fill="1E3A6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Offsite + versleuteld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1E3A6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Hersteltest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1E3A6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Laatste test</w:t>
            </w:r>
          </w:p>
        </w:tc>
      </w:tr>
      <w:tr>
        <w:trPr>
          <w:cantSplit w:val="1"/>
        </w:trPr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9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Bestandsserver / NAS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0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Volledig + incrementeel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Dagelijks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0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30 dagen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{{Ja/Nee}}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Maandelijks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{{DATUM}}</w:t>
            </w:r>
          </w:p>
        </w:tc>
      </w:tr>
      <w:tr>
        <w:trPr>
          <w:cantSplit w:val="1"/>
        </w:trPr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9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ERP-database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0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Volledig + differentieel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Dagelijks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0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90 dagen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{{Ja/Nee}}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Maandelijks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{{DATUM}}</w:t>
            </w:r>
          </w:p>
        </w:tc>
      </w:tr>
      <w:tr>
        <w:trPr>
          <w:cantSplit w:val="1"/>
        </w:trPr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9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Email (M365/Exchange)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0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Continue (cloud)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15 minuten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0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 jaar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Cloud + AES-256 ✓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Kwartaal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{{DATUM}}</w:t>
            </w:r>
          </w:p>
        </w:tc>
      </w:tr>
      <w:tr>
        <w:trPr>
          <w:cantSplit w:val="1"/>
        </w:trPr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9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Website &amp; CMS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0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Volledig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Wekelijks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0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30 dagen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{{Ja/Nee}}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Kwartaal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{{DATUM}}</w:t>
            </w:r>
          </w:p>
        </w:tc>
      </w:tr>
      <w:tr>
        <w:trPr>
          <w:cantSplit w:val="1"/>
        </w:trPr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9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OT/SCADA configuratie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0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Volledig (config-export)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Na wijziging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0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Onbeperkt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{{Ja/Nee}}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Halfjaarlijks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{{DATUM}}</w:t>
            </w:r>
          </w:p>
        </w:tc>
      </w:tr>
      <w:tr>
        <w:trPr>
          <w:cantSplit w:val="1"/>
        </w:trPr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9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Werkstation images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0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Incrementeel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Wekelijks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0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30 dagen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{{Ja/Nee}}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Jaarlijks</w:t>
            </w:r>
          </w:p>
        </w:tc>
        <w:tc>
          <w:tcPr>
            <w:tcW w:type="dxa" w:w="121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{{DATUM}}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3c · Disaster Recovery Plan (DRP) — Herstelstappen</w:t>
      </w:r>
      <w:r>
        <w:rPr>
          <w:rFonts w:ascii="Calibri" w:hAnsi="Calibri"/>
          <w:color w:val="1D4ED8"/>
          <w:sz w:val="16"/>
        </w:rPr>
        <w:t xml:space="preserve">    NIS2 Art. 21(2)(c)  ·  ISO 27001 Cl. A.5.30</w:t>
      </w:r>
    </w:p>
    <w:p>
      <w:pPr>
        <w:spacing w:before="0" w:after="120"/>
      </w:pPr>
      <w:r>
        <w:rPr>
          <w:rFonts w:ascii="Calibri" w:hAnsi="Calibri"/>
          <w:b w:val="0"/>
          <w:i/>
          <w:color w:val="6B7280"/>
          <w:sz w:val="20"/>
        </w:rPr>
        <w:t>Het DRP beschrijft de stap-voor-stap technische herstelprocedure bij een significante cybercrisis. Tijden zijn indicatief en gebaseerd op de RTO's uit §3a.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1200"/>
        <w:gridCol w:w="2004"/>
        <w:gridCol w:w="3500"/>
        <w:gridCol w:w="1800"/>
      </w:tblGrid>
      <w:tblGrid>
        <w:gridCol w:w="2126"/>
        <w:gridCol w:w="2126"/>
        <w:gridCol w:w="2126"/>
        <w:gridCol w:w="2126"/>
      </w:tblGrid>
      <w:tr>
        <w:trPr>
          <w:cantSplit w:val="1"/>
          <w:tblHeader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Fase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4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Tijdsdoel (na T=0)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5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Actie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Verantwoordelijke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1. Detectie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4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766E"/>
                <w:sz w:val="18"/>
              </w:rPr>
              <w:t>T+0 – T+1u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5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Incident gedetecteerd via monitoring/melding. Eerste triage: scope, aard en ernst bepalen.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B7280"/>
                <w:sz w:val="18"/>
              </w:rPr>
              <w:t>IT-beheerder / SIEM-alert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2. Activering DRP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4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766E"/>
                <w:sz w:val="18"/>
              </w:rPr>
              <w:t>T+1u – T+2u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5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DRP-team geactiveerd. Directie geïnformeerd. Crisisruimte opgezet. NIS2-meldplicht checken: early warning NCSC binnen 24u vereist.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B7280"/>
                <w:sz w:val="18"/>
              </w:rPr>
              <w:t>BCP-coördinator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3. Isolatie &amp; schadevast-stelling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4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766E"/>
                <w:sz w:val="18"/>
              </w:rPr>
              <w:t>T+2u – T+4u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5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Getroffen systemen isoleren. Omvang van data-/systeemverlies bepalen. Forensische snapshot maken voor later onderzoek.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B7280"/>
                <w:sz w:val="18"/>
              </w:rPr>
              <w:t>IT-beheerder + extern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4. Herstelstrategie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4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766E"/>
                <w:sz w:val="18"/>
              </w:rPr>
              <w:t>T+4u – T+6u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5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Keuze: herstel vanuit backup vs. alternatief platform vs. handmatige fallback. Communicatie naar medewerkers over verwachte hersteltijd.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B7280"/>
                <w:sz w:val="18"/>
              </w:rPr>
              <w:t>Directie + IT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5. Technisch herstel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4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766E"/>
                <w:sz w:val="18"/>
              </w:rPr>
              <w:t>T+6u – RTO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5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Systemen herstellen vanuit laatste goede backup conform §3b. Volgorde: netwerk → authenticatie → primaire servers → ERP → overig.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B7280"/>
                <w:sz w:val="18"/>
              </w:rPr>
              <w:t>IT-beheerder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6. Validatie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4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766E"/>
                <w:sz w:val="18"/>
              </w:rPr>
              <w:t>Na herstel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5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Geïntegreerde systeemtest: data-integriteit, koppelingen, security-maatregelen. Sign-off door proceseigenaren vóór terugkeer naar productie.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B7280"/>
                <w:sz w:val="18"/>
              </w:rPr>
              <w:t>IT + proceseigenaren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7. Normaal operatie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4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766E"/>
                <w:sz w:val="18"/>
              </w:rPr>
              <w:t>Na validatie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5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Officiële terugkeer naar normale bedrijfsvoering. Definitieve incidentmelding NCSC (art. 23 NIS2): verslag binnen 72u / eindrapport binnen 30d.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B7280"/>
                <w:sz w:val="18"/>
              </w:rPr>
              <w:t>Directie + IT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8. Nazorg &amp; lessons learned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4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766E"/>
                <w:sz w:val="18"/>
              </w:rPr>
              <w:t>T+7 dagen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5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Root cause analysis. DRP updaten op basis van bevindingen. Rapportage aan directie en eventueel toezichthouder.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6B7280"/>
                <w:sz w:val="18"/>
              </w:rPr>
              <w:t>BCP-coördinator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3d · Crisismanagement &amp; Communicatieplan</w:t>
      </w:r>
      <w:r>
        <w:rPr>
          <w:rFonts w:ascii="Calibri" w:hAnsi="Calibri"/>
          <w:color w:val="1D4ED8"/>
          <w:sz w:val="16"/>
        </w:rPr>
        <w:t xml:space="preserve">    NIS2 Art. 21(2)(c), Art. 23  ·  ISO 27001 Cl. A.5.29</w:t>
      </w:r>
    </w:p>
    <w:p>
      <w:pPr>
        <w:spacing w:before="0" w:after="120"/>
      </w:pPr>
      <w:r>
        <w:rPr>
          <w:rFonts w:ascii="Calibri" w:hAnsi="Calibri"/>
          <w:b w:val="0"/>
          <w:i/>
          <w:color w:val="6B7280"/>
          <w:sz w:val="20"/>
        </w:rPr>
        <w:t>Duidelijke communicatieafspraken voorkomen paniek en fouten tijdens een crisis. Let op: NIS2 Art. 23 verplicht meldingen aan NCSC binnen strikte termijnen.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2000"/>
        <w:gridCol w:w="2204"/>
        <w:gridCol w:w="2204"/>
        <w:gridCol w:w="2096"/>
      </w:tblGrid>
      <w:tblGrid>
        <w:gridCol w:w="2126"/>
        <w:gridCol w:w="2126"/>
        <w:gridCol w:w="2126"/>
        <w:gridCol w:w="2126"/>
      </w:tblGrid>
      <w:tr>
        <w:trPr>
          <w:cantSplit w:val="1"/>
          <w:tblHeader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0" w:type="dxa"/>
            <w:shd w:val="clear" w:color="auto" w:fill="14532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Doelgroep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4" w:type="dxa"/>
            <w:shd w:val="clear" w:color="auto" w:fill="14532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Tijdstip / frequentie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4" w:type="dxa"/>
            <w:shd w:val="clear" w:color="auto" w:fill="14532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Boodschap / inhoud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96" w:type="dxa"/>
            <w:shd w:val="clear" w:color="auto" w:fill="14532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Kanaal / contactpersoon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0" w:type="dxa"/>
            <w:shd w:val="clear" w:color="auto"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532D"/>
                <w:sz w:val="20"/>
              </w:rPr>
              <w:t>Intern crisisteam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Onmiddellijk bij T=0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Aard, ernst en scope incident. Activering DRP. Rolverdeling.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96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Beveiligde chat / telefoon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0" w:type="dxa"/>
            <w:shd w:val="clear" w:color="auto"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532D"/>
                <w:sz w:val="20"/>
              </w:rPr>
              <w:t>Directie / bestuur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T+1u + elke 4u update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Zakelijke impact, financieel risico, verwachte hersteltijd, reputatierisico.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96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Directe lijn BCP-coördinator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0" w:type="dxa"/>
            <w:shd w:val="clear" w:color="auto"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532D"/>
                <w:sz w:val="20"/>
              </w:rPr>
              <w:t>Medewerkers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T+2u + dagelijks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Welke systemen niet beschikbaar zijn. Alternatieve werkprocedures. Verwachte hersteltijd.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96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Email (alternatief) / intranet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0" w:type="dxa"/>
            <w:shd w:val="clear" w:color="auto"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532D"/>
                <w:sz w:val="20"/>
              </w:rPr>
              <w:t>NCSC (NIS2 Art. 23)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Early warning: T+24u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Incidentmelding: T+72u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Eindrapport: T+30d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Early warning: aard + getroffen dienst.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72u: verdere details, omvang, voorlopige maatregelen.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30d: volledige analyse, lessons learned.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96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ncsc.nl / meldloket.ncsc.nl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0" w:type="dxa"/>
            <w:shd w:val="clear" w:color="auto"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532D"/>
                <w:sz w:val="20"/>
              </w:rPr>
              <w:t>Klanten / partners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Indien dienstverlening geraakt — T+4u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Beperkte operationele impact mededelen. Geen technische details. Verwacht herstelmoment.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96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Account manager / klantcontact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0" w:type="dxa"/>
            <w:shd w:val="clear" w:color="auto"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532D"/>
                <w:sz w:val="20"/>
              </w:rPr>
              <w:t>Media / pers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Alleen bij publieke impact — via directie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Gecoördineerde persverklaring. Minimale details. Focus op maatregelen genomen.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96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Directie / PR-adviseur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4 · Testing &amp; Oefeningen — BCP/DRP Verificatie</w:t>
      </w:r>
      <w:r>
        <w:rPr>
          <w:rFonts w:ascii="Calibri" w:hAnsi="Calibri"/>
          <w:color w:val="1D4ED8"/>
          <w:sz w:val="16"/>
        </w:rPr>
        <w:t xml:space="preserve">    NIS2 Art. 21(2)(c)  ·  ISO 27001 Cl. A.5.29, A.5.30</w:t>
      </w:r>
    </w:p>
    <w:p>
      <w:pPr>
        <w:spacing w:before="0" w:after="120"/>
      </w:pPr>
      <w:r>
        <w:rPr>
          <w:rFonts w:ascii="Calibri" w:hAnsi="Calibri"/>
          <w:b w:val="0"/>
          <w:i/>
          <w:color w:val="6B7280"/>
          <w:sz w:val="20"/>
        </w:rPr>
        <w:t>Een niet-getest BCP/DRP is geen bewijs van continuïteitsbeheersing. NIS2 vereist aantoonbare effectiviteit van maatregelen. Documenteer elke test — testrapport is bewijs voor toezichthouder.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2400"/>
        <w:gridCol w:w="1604"/>
        <w:gridCol w:w="1100"/>
        <w:gridCol w:w="1700"/>
        <w:gridCol w:w="1700"/>
      </w:tblGrid>
      <w:tblGrid>
        <w:gridCol w:w="1701"/>
        <w:gridCol w:w="1701"/>
        <w:gridCol w:w="1701"/>
        <w:gridCol w:w="1701"/>
        <w:gridCol w:w="1701"/>
      </w:tblGrid>
      <w:tr>
        <w:trPr>
          <w:cantSplit w:val="1"/>
          <w:tblHeader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Oefening / test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4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Frequentie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Duur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Deelnemers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 / datum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Backup hersteltest (geselecteerde systemen)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Maandelijks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2–4 uur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IT-beheerder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{{DATUM LAATSTE TEST}}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Backup volledig herstel (alle kritieke systemen)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Halfjaarlijks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 dag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IT + proceseigenaren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{{DATUM LAATSTE TEST}}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DRP tabletop-oefening (simulatie cybercrisis)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Jaarlijks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3–4 uur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Crisisteam + directie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{{DATUM LAATSTE TEST}}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Volledig DRP live-oefening (technisch herstel)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Jaarlijks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1–2 dagen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IT + extern DR-partner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{{DATUM LAATSTE TEST}}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Communicatieoefening (NIS2-melding simulatie)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Jaarlijks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2 uur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Directie + IT + legal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{{DATUM LAATSTE TEST}}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5 · Bewaking &amp; Herziening</w:t>
      </w:r>
      <w:r>
        <w:rPr>
          <w:rFonts w:ascii="Calibri" w:hAnsi="Calibri"/>
          <w:color w:val="1D4ED8"/>
          <w:sz w:val="16"/>
        </w:rPr>
        <w:t xml:space="preserve">    NIS2 Art. 21(2)(f)  ·  ISO 27001 Cl. 9.1, A.5.29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2400"/>
        <w:gridCol w:w="6104"/>
      </w:tblGrid>
      <w:tblGrid>
        <w:gridCol w:w="4252"/>
        <w:gridCol w:w="4252"/>
      </w:tblGrid>
      <w:tr>
        <w:trPr>
          <w:cantSplit w:val="1"/>
          <w:tblHeader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Monitoringparameters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Backup-uitvoering dagelijks bevestigd (alert bij failure) · Restore-tijd getest vs. RTO · Systeembeschikbaarheid vs. SLA · Laatste succesvolle hersteltest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Review triggers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Na een DRP-activatie (altijd) · Bij significante wijziging IT-infrastructuur · Na negatief testresultaat · Jaarlijkse geplande review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Verantwoordelijke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{{NAAM BCP-COÖRDINATOR}}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Volgende review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{{DATUM}}  (maximaal 12 maanden na huidig document)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Documentatiebeheer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Testrapportages bewaren minimaal 3 jaar. DRP-documenten beschikbaar voor crisisteam op meerdere locaties (ook offline). Beschikbaar voor toezichthouder op verzoek.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6 · Regelgevingsverwijzing</w:t>
      </w:r>
      <w:r>
        <w:rPr>
          <w:rFonts w:ascii="Calibri" w:hAnsi="Calibri"/>
          <w:color w:val="1D4ED8"/>
          <w:sz w:val="16"/>
        </w:rPr>
        <w:t xml:space="preserve">    NIS2 Art. 21(2)(c), Art. 23  ·  ISO 27001 Cl. A.8.13, A.5.29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2200"/>
        <w:gridCol w:w="3204"/>
        <w:gridCol w:w="3100"/>
      </w:tblGrid>
      <w:tblGrid>
        <w:gridCol w:w="2835"/>
        <w:gridCol w:w="2835"/>
        <w:gridCol w:w="2835"/>
      </w:tblGrid>
      <w:tr>
        <w:trPr>
          <w:cantSplit w:val="1"/>
          <w:tblHeader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Kader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Artikel / Clausule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1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Relevantie voor dit module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NIS2 / Cyberbeveiligingswet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Art. 21(2)(c)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1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Primaire verplichting: bedrijfscontinuïteit inclusief backupbeheer, disaster recovery en crisismanagement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NIS2 / Cyberbeveiligingswet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Art. 23 (meldplicht)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1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Early warning 24u · Incidentmelding 72u · Eindrapport 30d — BCP bepaalt of melddrempel gehaald wordt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ISO/IEC 27001:2022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A.8.13 (informatieback-up)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1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3-2-1 backupstrategie, testen herstelbaar, retentiebeleid en offsite opslag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ISO/IEC 27001:2022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A.5.29/A.5.30 (BCP/ICT-gereedheid)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1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Business Impact Analysis, continuïteitsplan, ICT-herstelcapaciteit en oefenprogramma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7 · Ingevuld voorbeeld — Waterbedrijf Aqua Noord B.V.</w:t>
      </w:r>
    </w:p>
    <w:p>
      <w:pPr>
        <w:spacing w:before="0" w:after="120"/>
      </w:pPr>
      <w:r>
        <w:rPr>
          <w:rFonts w:ascii="Calibri" w:hAnsi="Calibri"/>
          <w:b w:val="0"/>
          <w:i/>
          <w:color w:val="6B7280"/>
          <w:sz w:val="20"/>
        </w:rPr>
        <w:t>Fictief drinkwaterbedrijf, 85 medewerkers, SCADA-systeem voor pompstations. Kritieke processen: SCADA (RTO 1u, RPO 15min), klantfacturatie (RTO 8u, RPO 4u). Scenario: ransomware-aanval treft IT-netwerk (OT blijft geïsoleerd intact).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2500"/>
        <w:gridCol w:w="1300"/>
        <w:gridCol w:w="1300"/>
        <w:gridCol w:w="1904"/>
        <w:gridCol w:w="1500"/>
      </w:tblGrid>
      <w:tblGrid>
        <w:gridCol w:w="1701"/>
        <w:gridCol w:w="1701"/>
        <w:gridCol w:w="1701"/>
        <w:gridCol w:w="1701"/>
        <w:gridCol w:w="1701"/>
      </w:tblGrid>
      <w:tr>
        <w:trPr>
          <w:cantSplit w:val="1"/>
          <w:tblHeader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5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Actie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Fase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Tijdstip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904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Verantwoordelijke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5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Ransomware gedetecteerd via EDR-alert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Detectie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T+0:15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9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IT-beheerder (P. de Vries)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532D"/>
                <w:sz w:val="18"/>
              </w:rPr>
              <w:t>Voltooid ✅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5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NCSC early warning verstuurd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Activering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T+18:00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9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Directeur (M. Bakker)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532D"/>
                <w:sz w:val="18"/>
              </w:rPr>
              <w:t>Voltooid ✅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5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IT-systemen hersteld vanuit backup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Herstel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T+36:00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9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IT + extern DR-partner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532D"/>
                <w:sz w:val="18"/>
              </w:rPr>
              <w:t>Voltooid ✅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5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Definitieve incidentmelding NCSC art.23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Rapportage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T+68:00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9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Directeur + legal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532D"/>
                <w:sz w:val="18"/>
              </w:rPr>
              <w:t>Voltooid ✅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8 · Conclusie — BCP/DRP Status &amp; Prioriteiten</w:t>
      </w:r>
      <w:r>
        <w:rPr>
          <w:rFonts w:ascii="Calibri" w:hAnsi="Calibri"/>
          <w:color w:val="1D4ED8"/>
          <w:sz w:val="16"/>
        </w:rPr>
        <w:t xml:space="preserve">    NIS2 Art. 21(2)(c)  ·  ISO 27001 Cl. A.5.29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374151"/>
          <w:sz w:val="22"/>
        </w:rPr>
        <w:t>Samenvatting van de bedrijfscontinuïteitsstatus. Vul in op basis van uw ingevulde §3a–§3d en §4. Dit overzicht is input voor management-rapportage en de jaarlijkse directiebeoordeling.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700"/>
        <w:gridCol w:w="2700"/>
        <w:gridCol w:w="1500"/>
        <w:gridCol w:w="1504"/>
        <w:gridCol w:w="2100"/>
      </w:tblGrid>
      <w:tblGrid>
        <w:gridCol w:w="1701"/>
        <w:gridCol w:w="1701"/>
        <w:gridCol w:w="1701"/>
        <w:gridCol w:w="1701"/>
        <w:gridCol w:w="1701"/>
      </w:tblGrid>
      <w:tr>
        <w:trPr>
          <w:cantSplit w:val="1"/>
          <w:tblHeader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7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Prioriteit / actie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RTO/RPO gehaald?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4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Deadline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1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Verantwoordelijke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7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4ED8"/>
                <w:sz w:val="22"/>
              </w:rPr>
              <w:t>1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1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7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4ED8"/>
                <w:sz w:val="22"/>
              </w:rPr>
              <w:t>2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1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7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4ED8"/>
                <w:sz w:val="22"/>
              </w:rPr>
              <w:t>3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1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7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4ED8"/>
                <w:sz w:val="22"/>
              </w:rPr>
              <w:t>4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1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7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4ED8"/>
                <w:sz w:val="22"/>
              </w:rPr>
              <w:t>5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1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i w:val="0"/>
          <w:color w:val="374151"/>
          <w:sz w:val="22"/>
        </w:rPr>
        <w:t>BCP-status: {{X}} van {{Y}} kritieke processen hebben een RTO/RPO gedefinieerd en getest.  Backups: {{X}} van {{Y}} kritieke systemen hebben een geldige hersteltest (&lt;6 maanden).  DRP: laatste live-oefening: {{DATUM}}.  Volgende modules: Module 6 (Medewerkers &amp; Bewustzijn) · Module 7 (Documentatie &amp; Logging) · Module 8 (Jaarlijkse Review) — samen vormen zij het complete NIS2-compliance-programma.</w:t>
      </w:r>
    </w:p>
    <w:p>
      <w:pPr>
        <w:spacing w:before="0" w:after="160"/>
      </w:pPr>
      <w:r>
        <w:rPr>
          <w:rFonts w:ascii="Calibri" w:hAnsi="Calibri"/>
          <w:b w:val="0"/>
          <w:i/>
          <w:color w:val="1D4ED8"/>
          <w:sz w:val="22"/>
        </w:rPr>
        <w:t>→ Volgende stap: Module 6 — Medewerkers &amp; Bewustzijn (binnenkort beschikbaar) — Train uw medewerkers en leg uw HR-beveiligingsbeleid vast.</w:t>
      </w:r>
    </w:p>
    <w:p>
      <w:pPr>
        <w:spacing w:before="0" w:after="0"/>
      </w:pPr>
      <w:r>
        <w:br w:type="page"/>
      </w:r>
    </w:p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9 · Verklaring &amp; Ondertekening</w:t>
      </w:r>
      <w:r>
        <w:rPr>
          <w:rFonts w:ascii="Calibri" w:hAnsi="Calibri"/>
          <w:color w:val="1D4ED8"/>
          <w:sz w:val="16"/>
        </w:rPr>
        <w:t xml:space="preserve">    NIS2 Art. 21(1)  ·  ISO 27001 Cl. 5.1</w:t>
      </w:r>
    </w:p>
    <w:p>
      <w:pPr>
        <w:spacing w:before="0" w:after="240"/>
      </w:pPr>
      <w:r>
        <w:rPr>
          <w:rFonts w:ascii="Calibri" w:hAnsi="Calibri"/>
          <w:b w:val="0"/>
          <w:i w:val="0"/>
          <w:color w:val="374151"/>
          <w:sz w:val="22"/>
        </w:rPr>
        <w:t>De ondergetekende verklaart dat de in dit document beschreven bedrijfscontinuïteits- en herstelmaatregelen een accurate weergave vormen van de huidige en geplande stand van implementatie binnen de organisatie. Dit document is opgesteld als onderdeel van het NIS2 / Cyberbeveiligingswet compliance-programma en is beschikbaar voor inzage door bevoegde toezichthouders.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4000"/>
        <w:gridCol w:w="4504"/>
      </w:tblGrid>
      <w:tblGrid>
        <w:gridCol w:w="4252"/>
        <w:gridCol w:w="4252"/>
      </w:tblGrid>
      <w:tr>
        <w:trPr>
          <w:cantSplit w:val="1"/>
          <w:tblHeader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000" w:type="dxa"/>
            <w:shd w:val="clear" w:color="auto" w:fill="F5F5F5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Organisatienaam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5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{{BEDRIJFSNAAM}}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000" w:type="dxa"/>
            <w:shd w:val="clear" w:color="auto" w:fill="F5F5F5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Naam ondertekenaar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5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{{NAAM DIRECTEUR / CEO}}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000" w:type="dxa"/>
            <w:shd w:val="clear" w:color="auto" w:fill="F5F5F5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Functie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5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{{FUNCTIE}}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000" w:type="dxa"/>
            <w:shd w:val="clear" w:color="auto" w:fill="F5F5F5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Handtekening &amp; datum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5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 xml:space="preserve">  </w:t>
              <w:br/>
              <w:t xml:space="preserve">  </w:t>
              <w:br/>
              <w:t>{{HANDTEKENING}}  ·  Datum: {{DATUM}}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i/>
          <w:color w:val="6B7280"/>
          <w:sz w:val="18"/>
        </w:rPr>
        <w:t>Door ondertekening bevestigt de directie kennis te hebben genomen van dit document en de verantwoordelijkheid te dragen voor de implementatie en het testen van het BCP/DRP.</w:t>
      </w:r>
    </w:p>
    <w:p>
      <w:pPr>
        <w:spacing w:before="0" w:after="0"/>
      </w:pPr>
      <w:r>
        <w:br w:type="page"/>
      </w:r>
    </w:p>
    <w:p>
      <w:pPr>
        <w:spacing w:before="0" w:after="0"/>
        <w:pBdr>
          <w:top w:val="single" w:sz="20" w:space="1" w:color="1c1c2e"/>
        </w:pBdr>
      </w:pPr>
    </w:p>
    <w:p>
      <w:pPr>
        <w:spacing w:before="800" w:after="0"/>
        <w:jc w:val="center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926080" cy="686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BTechGids_trimm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86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 w:after="0"/>
        <w:jc w:val="center"/>
      </w:pPr>
    </w:p>
    <w:p>
      <w:pPr>
        <w:spacing w:before="0" w:after="360"/>
        <w:pBdr>
          <w:bottom w:val="single" w:sz="4" w:space="1" w:color="e5e7eb"/>
        </w:pBdr>
      </w:pPr>
    </w:p>
    <w:p>
      <w:pPr>
        <w:spacing w:before="0" w:after="100"/>
        <w:jc w:val="center"/>
      </w:pPr>
      <w:r>
        <w:rPr>
          <w:rFonts w:ascii="Calibri" w:hAnsi="Calibri"/>
          <w:b w:val="0"/>
          <w:i/>
          <w:color w:val="6B7280"/>
          <w:sz w:val="18"/>
        </w:rPr>
        <w:t>Ontwikkeld en uitgegeven door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1C1C2E"/>
          <w:sz w:val="36"/>
        </w:rPr>
        <w:t>MKBTechGids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14532D"/>
          <w:sz w:val="20"/>
        </w:rPr>
        <w:t>Technologie met vertrouwen</w:t>
      </w:r>
      <w:r>
        <w:rPr>
          <w:rFonts w:ascii="Calibri" w:hAnsi="Calibri"/>
          <w:b w:val="0"/>
          <w:i w:val="0"/>
          <w:color w:val="D1D5DB"/>
          <w:sz w:val="20"/>
        </w:rPr>
        <w:t xml:space="preserve">   ·   </w:t>
      </w:r>
      <w:r>
        <w:rPr>
          <w:rFonts w:ascii="Calibri" w:hAnsi="Calibri"/>
          <w:b w:val="0"/>
          <w:i w:val="0"/>
          <w:color w:val="6B7280"/>
          <w:sz w:val="18"/>
        </w:rPr>
        <w:t xml:space="preserve">onderdeel van </w:t>
      </w:r>
      <w:r>
        <w:rPr>
          <w:rFonts w:ascii="Calibri" w:hAnsi="Calibri"/>
          <w:b/>
          <w:i w:val="0"/>
          <w:color w:val="1C1C2E"/>
          <w:sz w:val="18"/>
        </w:rPr>
        <w:t>TechLeadNL</w:t>
      </w:r>
    </w:p>
    <w:p>
      <w:pPr>
        <w:spacing w:before="400" w:after="0"/>
        <w:jc w:val="center"/>
      </w:pP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  <w:jc w:val="center"/>
      </w:tblPr>
      <w:tblGrid>
        <w:gridCol w:w="4252"/>
        <w:gridCol w:w="4252"/>
      </w:tblGrid>
      <w:tblGrid>
        <w:gridCol w:w="4252"/>
        <w:gridCol w:w="4252"/>
      </w:tblGrid>
      <w:tr>
        <w:trPr>
          <w:cantSplit w:val="1"/>
          <w:tblHeader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252" w:type="dxa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1C2E"/>
                <w:sz w:val="20"/>
              </w:rPr>
              <w:t>mkbtechgids.nl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252" w:type="dxa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1C2E"/>
                <w:sz w:val="20"/>
              </w:rPr>
              <w:t>techleadnl.nl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252" w:type="dxa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C1C2E"/>
                <w:sz w:val="18"/>
              </w:rPr>
              <w:t>info@mkbtechgids.nl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252" w:type="dxa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C1C2E"/>
                <w:sz w:val="18"/>
              </w:rPr>
              <w:t>Brielle, Zuid-Holland · Nederland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252" w:type="dxa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NIS2 Compliance Toolkit · Versie 1.0 · 2026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252" w:type="dxa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Module 5 — Bedrijfscontinuïteit &amp; Herstel</w:t>
            </w:r>
          </w:p>
        </w:tc>
      </w:tr>
    </w:tbl>
    <w:p>
      <w:pPr>
        <w:spacing w:before="440" w:after="0"/>
        <w:jc w:val="center"/>
      </w:pPr>
    </w:p>
    <w:p>
      <w:pPr>
        <w:spacing w:before="0" w:after="120"/>
        <w:jc w:val="center"/>
      </w:pPr>
      <w:r>
        <w:rPr>
          <w:rFonts w:ascii="Calibri" w:hAnsi="Calibri"/>
          <w:b w:val="0"/>
          <w:i/>
          <w:color w:val="14532D"/>
          <w:sz w:val="18"/>
        </w:rPr>
        <w:t>✓  Gratis regelgevingsupdates gedurende 12 maanden na aankoop</w:t>
      </w:r>
    </w:p>
    <w:p>
      <w:pPr>
        <w:spacing w:before="0" w:after="560"/>
        <w:jc w:val="center"/>
      </w:pPr>
      <w:r>
        <w:rPr>
          <w:rFonts w:ascii="Calibri" w:hAnsi="Calibri"/>
          <w:b w:val="0"/>
          <w:i w:val="0"/>
          <w:color w:val="D1D5DB"/>
          <w:sz w:val="16"/>
        </w:rPr>
        <w:t>Licentie voor één entiteit  ·  Niet voor doorverkoop of herverspreiding</w:t>
      </w:r>
    </w:p>
    <w:p>
      <w:pPr>
        <w:spacing w:before="0" w:after="160"/>
        <w:pBdr>
          <w:top w:val="single" w:sz="16" w:space="1" w:color="1c1c2e"/>
        </w:pBdr>
      </w:pPr>
    </w:p>
    <w:p>
      <w:pPr>
        <w:spacing w:before="160" w:after="0"/>
        <w:jc w:val="center"/>
      </w:pPr>
      <w:r>
        <w:rPr>
          <w:rFonts w:ascii="Calibri" w:hAnsi="Calibri"/>
          <w:b w:val="0"/>
          <w:i w:val="0"/>
          <w:color w:val="6B7280"/>
          <w:sz w:val="16"/>
        </w:rPr>
        <w:t xml:space="preserve">KVK </w:t>
      </w:r>
      <w:r>
        <w:rPr>
          <w:rFonts w:ascii="Calibri" w:hAnsi="Calibri"/>
          <w:b/>
          <w:i w:val="0"/>
          <w:color w:val="1C1C2E"/>
          <w:sz w:val="16"/>
        </w:rPr>
        <w:t>27348456</w:t>
      </w:r>
      <w:r>
        <w:rPr>
          <w:rFonts w:ascii="Calibri" w:hAnsi="Calibri"/>
          <w:b w:val="0"/>
          <w:i w:val="0"/>
          <w:color w:val="D1D5DB"/>
          <w:sz w:val="16"/>
        </w:rPr>
        <w:t xml:space="preserve">   ·   </w:t>
      </w:r>
      <w:r>
        <w:rPr>
          <w:rFonts w:ascii="Calibri" w:hAnsi="Calibri"/>
          <w:b w:val="0"/>
          <w:i w:val="0"/>
          <w:color w:val="6B7280"/>
          <w:sz w:val="16"/>
        </w:rPr>
        <w:t xml:space="preserve">BTW </w:t>
      </w:r>
      <w:r>
        <w:rPr>
          <w:rFonts w:ascii="Calibri" w:hAnsi="Calibri"/>
          <w:b/>
          <w:i w:val="0"/>
          <w:color w:val="1C1C2E"/>
          <w:sz w:val="16"/>
        </w:rPr>
        <w:t>NL004968309B61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W w:w="8504" w:type="dxa"/>
      <w:jc w:val="left"/>
    </w:tblPr>
    <w:tblGrid>
      <w:gridCol w:w="3000"/>
      <w:gridCol w:w="3000"/>
      <w:gridCol w:w="2504"/>
    </w:tblGrid>
    <w:tblGrid>
      <w:gridCol w:w="3024"/>
      <w:gridCol w:w="3024"/>
      <w:gridCol w:w="3024"/>
    </w:tblGrid>
    <w:tr>
      <w:tc>
        <w:tcPr>
          <w:tcW w:type="dxa" w:w="3024"/>
          <w:tcBorders>
            <w:top w:val="none" w:sz="0" w:space="0" w:color="FFFFFF"/>
            <w:bottom w:val="none" w:sz="0" w:space="0" w:color="FFFFFF"/>
            <w:left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cBorders>
          <w:tcW w:w="3000" w:type="dxa"/>
          <w:shd w:val="clear" w:color="auto" w:fill="F5F5F5"/>
          <w:tcMar>
            <w:top w:w="50" w:type="dxa"/>
            <w:bottom w:w="50" w:type="dxa"/>
            <w:left w:w="100" w:type="dxa"/>
            <w:right w:w="100" w:type="dxa"/>
          </w:tcMar>
        </w:tcPr>
        <w:p>
          <w:pPr>
            <w:jc w:val="left"/>
          </w:pPr>
          <w:r>
            <w:rPr>
              <w:rFonts w:ascii="Calibri" w:hAnsi="Calibri"/>
              <w:color w:val="6B7280"/>
              <w:sz w:val="14"/>
            </w:rPr>
            <w:t>{{BEDRIJFSNAAM}}  ·  Vertrouwelijk</w:t>
          </w:r>
        </w:p>
      </w:tc>
      <w:tc>
        <w:tcPr>
          <w:tcW w:type="dxa" w:w="3024"/>
          <w:tcBorders>
            <w:top w:val="none" w:sz="0" w:space="0" w:color="FFFFFF"/>
            <w:bottom w:val="none" w:sz="0" w:space="0" w:color="FFFFFF"/>
            <w:left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cBorders>
          <w:tcW w:w="3000" w:type="dxa"/>
          <w:shd w:val="clear" w:color="auto" w:fill="F5F5F5"/>
          <w:tcMar>
            <w:top w:w="50" w:type="dxa"/>
            <w:bottom w:w="50" w:type="dxa"/>
            <w:left w:w="100" w:type="dxa"/>
            <w:right w:w="100" w:type="dxa"/>
          </w:tcMar>
        </w:tcPr>
        <w:p>
          <w:pPr>
            <w:jc w:val="center"/>
          </w:pPr>
          <w:r>
            <w:rPr>
              <w:rFonts w:ascii="Calibri" w:hAnsi="Calibri"/>
              <w:color w:val="1D4ED8"/>
              <w:sz w:val="14"/>
            </w:rPr>
            <w:t>NIS2 Art. 21(2)(a)  ·  ISO 27001 Cl. 6.1</w:t>
          </w:r>
        </w:p>
      </w:tc>
      <w:tc>
        <w:tcPr>
          <w:tcW w:type="dxa" w:w="3024"/>
          <w:tcBorders>
            <w:top w:val="none" w:sz="0" w:space="0" w:color="FFFFFF"/>
            <w:bottom w:val="none" w:sz="0" w:space="0" w:color="FFFFFF"/>
            <w:left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cBorders>
          <w:tcW w:w="2504" w:type="dxa"/>
          <w:shd w:val="clear" w:color="auto" w:fill="F5F5F5"/>
          <w:tcMar>
            <w:top w:w="50" w:type="dxa"/>
            <w:bottom w:w="50" w:type="dxa"/>
            <w:left w:w="100" w:type="dxa"/>
            <w:right w:w="100" w:type="dxa"/>
          </w:tcMar>
        </w:tcPr>
        <w:p>
          <w:pPr>
            <w:jc w:val="right"/>
          </w:pPr>
          <w:r>
            <w:rPr>
              <w:rFonts w:ascii="Calibri" w:hAnsi="Calibri"/>
              <w:color w:val="6B7280"/>
              <w:sz w:val="14"/>
            </w:rPr>
            <w:t xml:space="preserve">v1.0  ·  </w:t>
          </w:r>
          <w:r>
            <w:rPr>
              <w:rFonts w:ascii="Calibri" w:hAnsi="Calibri"/>
              <w:color w:val="6B7280"/>
              <w:sz w:val="14"/>
            </w:rPr>
            <w:fldChar w:fldCharType="begin"/>
            <w:instrText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W w:w="8504" w:type="dxa"/>
      <w:jc w:val="left"/>
    </w:tblPr>
    <w:tblGrid>
      <w:gridCol w:w="2200"/>
      <w:gridCol w:w="4100"/>
      <w:gridCol w:w="2204"/>
    </w:tblGrid>
    <w:tblGrid>
      <w:gridCol w:w="3024"/>
      <w:gridCol w:w="3024"/>
      <w:gridCol w:w="3024"/>
    </w:tblGrid>
    <w:tr>
      <w:tc>
        <w:tcPr>
          <w:tcW w:type="dxa" w:w="3024"/>
          <w:tcBorders>
            <w:top w:val="none" w:sz="0" w:space="0" w:color="FFFFFF"/>
            <w:bottom w:val="none" w:sz="0" w:space="0" w:color="FFFFFF"/>
            <w:left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cBorders>
          <w:tcW w:w="2200" w:type="dxa"/>
          <w:shd w:val="clear" w:color="auto" w:fill="F5F5F5"/>
          <w:tcMar>
            <w:top w:w="60" w:type="dxa"/>
            <w:bottom w:w="60" w:type="dxa"/>
            <w:left w:w="100" w:type="dxa"/>
            <w:right w:w="100" w:type="dxa"/>
          </w:tcMar>
        </w:tcPr>
        <w:p>
          <w:pPr>
            <w:jc w:val="left"/>
          </w:pPr>
          <w:r>
            <w:rPr>
              <w:rFonts w:ascii="Calibri" w:hAnsi="Calibri"/>
              <w:b/>
              <w:color w:val="1C1C2E"/>
              <w:sz w:val="16"/>
            </w:rPr>
            <w:t>NIS2  ·  M05</w:t>
          </w:r>
        </w:p>
      </w:tc>
      <w:tc>
        <w:tcPr>
          <w:tcW w:type="dxa" w:w="3024"/>
          <w:tcBorders>
            <w:top w:val="none" w:sz="0" w:space="0" w:color="FFFFFF"/>
            <w:bottom w:val="none" w:sz="0" w:space="0" w:color="FFFFFF"/>
            <w:left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cBorders>
          <w:tcW w:w="4100" w:type="dxa"/>
          <w:shd w:val="clear" w:color="auto" w:fill="F5F5F5"/>
          <w:tcMar>
            <w:top w:w="60" w:type="dxa"/>
            <w:bottom w:w="60" w:type="dxa"/>
            <w:left w:w="100" w:type="dxa"/>
            <w:right w:w="100" w:type="dxa"/>
          </w:tcMar>
        </w:tcPr>
        <w:p>
          <w:pPr>
            <w:jc w:val="center"/>
          </w:pPr>
          <w:r>
            <w:rPr>
              <w:rFonts w:ascii="Calibri" w:hAnsi="Calibri"/>
              <w:color w:val="374151"/>
              <w:sz w:val="16"/>
            </w:rPr>
            <w:t>Bedrijfscontinuïteit — NIS2 Module 5</w:t>
          </w:r>
        </w:p>
      </w:tc>
      <w:tc>
        <w:tcPr>
          <w:tcW w:type="dxa" w:w="3024"/>
          <w:tcBorders>
            <w:top w:val="none" w:sz="0" w:space="0" w:color="FFFFFF"/>
            <w:bottom w:val="none" w:sz="0" w:space="0" w:color="FFFFFF"/>
            <w:left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cBorders>
          <w:tcW w:w="2204" w:type="dxa"/>
          <w:shd w:val="clear" w:color="auto" w:fill="F5F5F5"/>
          <w:tcMar>
            <w:top w:w="60" w:type="dxa"/>
            <w:bottom w:w="60" w:type="dxa"/>
            <w:left w:w="100" w:type="dxa"/>
            <w:right w:w="100" w:type="dxa"/>
          </w:tcMar>
        </w:tcPr>
        <w:p>
          <w:pPr>
            <w:jc w:val="right"/>
          </w:pPr>
          <w:r>
            <w:rPr>
              <w:rFonts w:ascii="Calibri" w:hAnsi="Calibri"/>
              <w:i/>
              <w:color w:val="6B7280"/>
              <w:sz w:val="14"/>
            </w:rPr>
            <w:t>[ LOGO BEDRIJF ]</w:t>
          </w:r>
        </w:p>
      </w:tc>
    </w:tr>
  </w:tbl>
  <w:p>
    <w:pPr>
      <w:spacing w:before="0" w:after="0"/>
      <w:pBdr>
        <w:bottom w:val="single" w:sz="6" w:space="1" w:color="1c1c2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rPr>
      <w:rFonts w:ascii="Calibri" w:hAnsi="Calibri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