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6000"/>
        <w:gridCol w:w="2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6000" w:type="dxa"/>
            <w:shd w:val="clear" w:color="auto" w:fill="1C1C2E"/>
            <w:tcMar>
              <w:top w:w="160" w:type="dxa"/>
              <w:bottom w:w="160" w:type="dxa"/>
              <w:left w:w="20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CA3AF"/>
                <w:sz w:val="18"/>
              </w:rPr>
              <w:t>MODULE 7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Documentatie &amp; Logging</w:t>
            </w:r>
          </w:p>
          <w:p>
            <w:r>
              <w:rPr>
                <w:rFonts w:ascii="Calibri" w:hAnsi="Calibri"/>
                <w:b w:val="0"/>
                <w:i w:val="0"/>
                <w:color w:val="9CA3AF"/>
                <w:sz w:val="18"/>
              </w:rPr>
              <w:t>Logbeleid · Retentie · Cryptografie · Monitoring  ·  NIS2 Art. 21(2)(e)(h)  ·  ISO 27001 A.8.15/A.8.24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2504" w:type="dxa"/>
            <w:shd w:val="clear" w:color="auto" w:fill="1C1C2E"/>
            <w:tcMar>
              <w:top w:w="160" w:type="dxa"/>
              <w:bottom w:w="160" w:type="dxa"/>
              <w:left w:w="120" w:type="dxa"/>
              <w:right w:w="2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9CA3AF"/>
                <w:sz w:val="20"/>
              </w:rPr>
              <w:t>MKBTechGids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NIS2 Compliance Toolkit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v1.0  ·  2026</w:t>
            </w:r>
          </w:p>
        </w:tc>
      </w:tr>
    </w:tbl>
    <w:p>
      <w:pPr>
        <w:spacing w:before="160" w:after="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1 · Doel &amp; Reikwijdte</w:t>
      </w:r>
      <w:r>
        <w:rPr>
          <w:rFonts w:ascii="Calibri" w:hAnsi="Calibri"/>
          <w:color w:val="1D4ED8"/>
          <w:sz w:val="16"/>
        </w:rPr>
        <w:t xml:space="preserve">    NIS2 Art. 21(2)(e)(h)  ·  ISO 27001 Cl. A.8.15, A.8.16, A.8.24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61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Doel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Dit module documenteert hoe uw organisatie logging, monitoring en cryptografie inzet als technische beveiliging en bewijs van compliance. Logs zijn het geheugen van uw systemen — zonder adequate logging is incidentonderzoek onmogelijk en toezichthouders zien geen bewijs van uw maatregelen. Conform NIS2 Art. 21(2)(e) en (h).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Reikwijdte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Alle systemen, netwerken en applicaties binnen de NIS2-scope (Module 1). Prioriteit: authenticatiesystemen, firewalls, servers, VPN, cloud-omgevingen, OT/SCADA (indien aanwezig) en alle systemen die persoonsgegevens verwerken.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Relatie andere modules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Input: Module 1 (scope) + Module 3 §3c (logging als maatregel) + Module 5 (DRP-logging)</w:t>
              <w:br/>
              <w:t>Output: Logdossier als bewijs voor toezichthouder — aantoonbaar conform Art. 21(2)(e)(h)</w:t>
              <w:br/>
              <w:t>Volgende: Module 8 — Jaarlijkse Review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Verplichte voorwaarden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☐ Module 1 Zelfevaluatie: VOLTOOID</w:t>
              <w:br/>
              <w:t>☐ Module 3 Beveiligingsmaatregelen (§3c logging): VOLTOOID</w:t>
              <w:br/>
              <w:t>☐ Systeeminventarisatie (welke systemen produceren logs?): BESCHIKBAAR</w:t>
              <w:br/>
              <w:t>☐ Huidige logoplossing (SIEM / syslog / cloud-logging): GEÏDENTIFICEERD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Geschatte invultijd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±2–3 uur  |  IT-beheerder of CISO als primaire invuller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Eigenaar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  ·  Datum: {{DATUM}}  ·  Versie: 1.0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2 · RACI-tabel — Verantwoordelijkheden</w:t>
      </w:r>
      <w:r>
        <w:rPr>
          <w:rFonts w:ascii="Calibri" w:hAnsi="Calibri"/>
          <w:color w:val="1D4ED8"/>
          <w:sz w:val="16"/>
        </w:rPr>
        <w:t xml:space="preserve">    NIS2 Art. 21(1)  ·  ISO 27001 Cl. A.5.2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204"/>
        <w:gridCol w:w="1200"/>
        <w:gridCol w:w="1200"/>
        <w:gridCol w:w="1200"/>
        <w:gridCol w:w="17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Activiteit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 / CISO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Compliance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Extern (MSSP)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Logbeleid vaststellen en onderhouden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Logging technisch implementeren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Logreview en monitoring uitvoeren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Cryptografiebeleid vaststellen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Logretentie bewaken en archiveren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5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C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B7280"/>
          <w:sz w:val="18"/>
        </w:rPr>
        <w:t>R = Responsible (uitvoerend)  ·  A = Accountable (eindverantwoordelijk)  ·  C = Consulted (geraadpleegd)  ·  I = Informed (geïnformeerd)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 · Documentatie &amp; Logging</w:t>
      </w:r>
      <w:r>
        <w:rPr>
          <w:rFonts w:ascii="Calibri" w:hAnsi="Calibri"/>
          <w:color w:val="1D4ED8"/>
          <w:sz w:val="16"/>
        </w:rPr>
        <w:t xml:space="preserve">    NIS2 Art. 21(2)(e)(h)  ·  ISO 27001 Cl. A.8.15, A.8.24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374151"/>
          <w:sz w:val="22"/>
        </w:rPr>
        <w:t>Dit module dekt vier componenten: (a) logbeleid — principes en scope, (b) logcategorieën — welke events worden vastgelegd, (c) retentiebeleid — hoe lang logs bewaard worden, (d) cryptografiebeleid — encryptie van data en communicatie.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3a · Logbeleid — Principes &amp; Scope</w:t>
      </w:r>
      <w:r>
        <w:rPr>
          <w:rFonts w:ascii="Calibri" w:hAnsi="Calibri"/>
          <w:color w:val="1D4ED8"/>
          <w:sz w:val="16"/>
        </w:rPr>
        <w:t xml:space="preserve">    NIS2 Art. 21(2)(e)  ·  ISO 27001 Cl. A.8.15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Vastleg welke systemen loggen, op welk niveau, en wie verantwoordelijk is. Centrale opslag is verplicht — lokale logs op endpoints zijn kwetsbaar voor manipulatie.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61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Logprincipes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Centrale opslag (SIEM of syslog-server) verplicht voor alle kritieke systemen · Logs zijn write-once / tamper-evident (onveranderbaar na aanmaak) · Logs bevatten minimaal: timestamp (UTC), gebruikersnaam, actie, bron-IP, systeem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Scope — kritieke systemen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Firewall / UTM · Authenticatieserver (AD/LDAP/SSO) · VPN-gateway · Servers (applicatie, database, mail) · Cloud-omgeving (AWS/Azure/GCP) · OT/SCADA (indien aanwezig) · Endpoints (EDR-agent logs)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Log-level (minimaal)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Authenticatie: alle pogingen (geslaagd + mislukt) · Autorisatie: alle toegangspogingen op kritieke data · Systeemwijzigingen: alle configuratie- en beleidswijzigingen · Netwerk: inkomend/uitgaand verkeer op kritieke segmenten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Logoplossing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SIEM / LOGOPLOSSING}}  ·  Leverancier: {{NAAM IT-BEHEERDER}}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Integriteit logs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Logs worden digitaal gesigneerd of opgeslagen in een write-protected omgeving. Toegang tot ruwe logs is beperkt tot CISO en IT-beheerder. Wijziging of verwijdering van logs is aantoonbaar onmogelijk of detecteerbaar.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3b · Logcategorieën — Events &amp; Systemen</w:t>
      </w:r>
      <w:r>
        <w:rPr>
          <w:rFonts w:ascii="Calibri" w:hAnsi="Calibri"/>
          <w:color w:val="1D4ED8"/>
          <w:sz w:val="16"/>
        </w:rPr>
        <w:t xml:space="preserve">    NIS2 Art. 21(2)(e)  ·  ISO 27001 Cl. A.8.15, A.8.16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Vul per systeem in welke events worden gelogd en of centrale opslag actief is.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4"/>
        <w:gridCol w:w="1600"/>
        <w:gridCol w:w="1600"/>
        <w:gridCol w:w="1600"/>
        <w:gridCol w:w="15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Systeem / categorie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Login-events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Wijzigingen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Netwerk-events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Centrale opslag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Firewall / UTM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 / Nee}}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Authenticatie (AD/LDAP/SSO)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 / Nee}}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VPN-gateway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 / Nee}}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Applicatieservers (ERP/CRM/web)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 / Nee}}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Databaseservers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 / Nee}}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Cloud-omgeving (AWS/Azure/GCP)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 / Nee}}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OT/SCADA (indien aanwezig)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✓ Verplicht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2400E"/>
                <w:sz w:val="18"/>
              </w:rPr>
              <w:t>○ Gewenst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 / Nee}}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3c · Retentiebeleid — Bewaartermijnen per logcategorie</w:t>
      </w:r>
      <w:r>
        <w:rPr>
          <w:rFonts w:ascii="Calibri" w:hAnsi="Calibri"/>
          <w:color w:val="1D4ED8"/>
          <w:sz w:val="16"/>
        </w:rPr>
        <w:t xml:space="preserve">    NIS2 Art. 21(2)(e)  ·  ISO 27001 Cl. A.8.15, A.5.33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NIS2 verplicht aantoonbare bewaartermijnen. Minimumnorm: 12 maanden beschikbaar, 6 maanden direct opvraagbaar. Sommige sectoren (financieel, zorg) hebben langere termijnen op basis van sectorwetgeving.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504"/>
        <w:gridCol w:w="1200"/>
        <w:gridCol w:w="1400"/>
        <w:gridCol w:w="1700"/>
        <w:gridCol w:w="17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Logcategorie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Minimale</w:t>
              <w:br/>
              <w:t>bewaring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Aanbevolen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Huidige bewaring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Opslaglocatie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Authenticatie- &amp; autorisatielogs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12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803D"/>
                <w:sz w:val="18"/>
              </w:rPr>
              <w:t>24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{{LOCATIE}}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Firewall &amp; netwerklogs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12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803D"/>
                <w:sz w:val="18"/>
              </w:rPr>
              <w:t>18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{{LOCATIE}}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Systeemwijziging &amp; auditlogs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24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803D"/>
                <w:sz w:val="18"/>
              </w:rPr>
              <w:t>36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{{LOCATIE}}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Applicatie- &amp; transactielogs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12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803D"/>
                <w:sz w:val="18"/>
              </w:rPr>
              <w:t>24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{{LOCATIE}}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Incidentlogs (beveiligingsgebeur.)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36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803D"/>
                <w:sz w:val="18"/>
              </w:rPr>
              <w:t>60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{{LOCATIE}}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Cloud-activiteitslogs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2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12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5803D"/>
                <w:sz w:val="18"/>
              </w:rPr>
              <w:t>24 maanden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{{LOCATIE}}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3d · Cryptografiebeleid — Encryptie &amp; Sleutelbeheer</w:t>
      </w:r>
      <w:r>
        <w:rPr>
          <w:rFonts w:ascii="Calibri" w:hAnsi="Calibri"/>
          <w:color w:val="1D4ED8"/>
          <w:sz w:val="16"/>
        </w:rPr>
        <w:t xml:space="preserve">    NIS2 Art. 21(2)(h)  ·  ISO 27001 Cl. A.8.24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Alle gevoelige data — zowel in rust (at rest) als in transit — wordt beschermd met encryptie conform de huidige stand van de techniek (AES-256 / TLS 1.3 minimum). Sleutelbeheer is gedocumenteerd en sleutels worden periodiek geroteerd.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500"/>
        <w:gridCol w:w="1604"/>
        <w:gridCol w:w="2400"/>
        <w:gridCol w:w="2000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Toepassing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Standaard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Sleutelrotatie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Data at rest (servers/NAS/databases)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AES-256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{{STATUS — Geïmplementeerd / Gepland / N.v.t.}}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{{Jaarlijks / Anders}}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Data at rest (laptops/endpoints)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BitLocker / FileVault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{{STATUS — Geïmplementeerd / Gepland / N.v.t.}}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{{Bij OS-herinstall}}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Data in transit (web/API)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TLS 1.3 minimum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{{STATUS — Geïmplementeerd / Gepland / N.v.t.}}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Automatisch (ACME)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Data in transit (e-mail)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TLS + DKIM + DMARC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{{STATUS — Geïmplementeerd / Gepland / N.v.t.}}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{{Jaarlijks}}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Backups (offsite)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F766E"/>
                <w:sz w:val="18"/>
              </w:rPr>
              <w:t>AES-256 + passphrase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{{STATUS — Geïmplementeerd / Gepland / N.v.t.}}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{{Kwartaal}}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4 · Logreview &amp; Monitoring — Detectie &amp; Response</w:t>
      </w:r>
      <w:r>
        <w:rPr>
          <w:rFonts w:ascii="Calibri" w:hAnsi="Calibri"/>
          <w:color w:val="1D4ED8"/>
          <w:sz w:val="16"/>
        </w:rPr>
        <w:t xml:space="preserve">    NIS2 Art. 21(2)(e)(f)  ·  ISO 27001 Cl. A.8.16, 9.1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Logs hebben alleen waarde als ze worden gereviewd. Geautomatiseerde alerting (SIEM of cloud-native) detecteert afwijkingen. Aanbevolen alertdrempels: &gt;5 mislukte logins per uur = Hoog-alert · &gt;3 mislukte logins op een beheerdersaccount = Kritiek-alert · Onverwachte outbound verbinding na 23:00 = Kritiek-alert. Handmatige review is aanvullend voor trends en root-cause analyse.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0"/>
        <w:gridCol w:w="1604"/>
        <w:gridCol w:w="2300"/>
        <w:gridCol w:w="2400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Review-activiteit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Frequentie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Bewijs / output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Geautomatiseerde alerts (SIEM-regels)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Continu (24/7)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SIEM / MSP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Alertlogboek in SIEM-dashboard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Review mislukte logins (&gt;5 per uur)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Dagelijks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Dagrapport in ticketsysteem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Review systeemwijzigingen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Wekelijks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IT-BEHEERDER}}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Weekrapport wijzigingen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Trendanalyse logvolume (anomaliedetect.)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Maandelijks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Maandrapport + escalatiedrempels</w:t>
            </w:r>
          </w:p>
        </w:tc>
      </w:tr>
      <w:tr>
        <w:trPr>
          <w:cantSplit w:val="1"/>
        </w:trPr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Volledig logreview (compliance-bewijs)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Kwartaal + jaarlijks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</w:tc>
        <w:tc>
          <w:tcPr>
            <w:tcW w:type="dxa" w:w="212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Auditrapport voor toezichthouder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5 · Bewaking &amp; Herziening</w:t>
      </w:r>
      <w:r>
        <w:rPr>
          <w:rFonts w:ascii="Calibri" w:hAnsi="Calibri"/>
          <w:color w:val="1D4ED8"/>
          <w:sz w:val="16"/>
        </w:rPr>
        <w:t xml:space="preserve">    NIS2 Art. 21(2)(f)  ·  ISO 27001 Cl. 9.1, A.8.15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61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KPI's / indicatoren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% systemen met actieve centrale logging (doel: 100% van kritieke systemen) · Gemiddelde alertresponsetijd (doel: &lt;2u voor Kritiek) · Logcompleteness score (doel: alle §3b-systemen groen) · Aantal encryptie-afwijkingen bij jaarlijkse scan (doel: 0) · NIS2 Art. 23: logs zijn primaire bewijslast bij NCSC-melding — logkwaliteit direct compliance-relevant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Review triggers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Na beveiligingsincident waarbij logs onvoldoende bewijs leverden · Bij toevoeging van nieuw kritiek systeem in scope · Na negatieve externe bevindingen over logging · Jaarlijkse geplande review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Volgende review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  (maximaal 12 maanden na huidig document)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374151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Documentatiebeheer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1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Logbeleid bewaren in compliance-dossier. Auditrapportages minimaal 3 jaar bewaren. Encryptie-sleuteldocumentatie beveiligd opslaan (niet in de logs zelf).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6 · Regelgevingsverwijzing</w:t>
      </w:r>
      <w:r>
        <w:rPr>
          <w:rFonts w:ascii="Calibri" w:hAnsi="Calibri"/>
          <w:color w:val="1D4ED8"/>
          <w:sz w:val="16"/>
        </w:rPr>
        <w:t xml:space="preserve">    NIS2 Art. 21(2)(e)(h)  ·  ISO 27001 Cl. A.8.15, A.8.24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0"/>
        <w:gridCol w:w="3204"/>
        <w:gridCol w:w="3100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Kader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Artikel / Clausule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Relevantie voor dit module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/ Cyberbeveiligingswet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21(2)(e)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Beveiliging netwerk- en informatiesystemen — logging als technische beveiligingsmaatregel en bewijs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/ Cyberbeveiligingswet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21(2)(h)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Beleid inzake cryptografie en encryptie — AES-256 at rest, TLS 1.3 in transit, sleutelbeheer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AVG / GDPR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32 (technische maatregelen)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Logging en encryptie zijn verplichte technische maatregelen voor persoonsgegevensbescherming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ISO/IEC 27001:2022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A.8.15 + A.8.16 (logging + monitoring)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1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Gebeurtenissenlogging, integriteitsborging van logs en monitoring op afwijkingen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7 · Ingevuld voorbeeld — Accountantskantoor Van Beek &amp; Partners B.V.</w:t>
      </w:r>
    </w:p>
    <w:p>
      <w:pPr>
        <w:spacing w:before="0" w:after="120"/>
      </w:pPr>
      <w:r>
        <w:rPr>
          <w:rFonts w:ascii="Calibri" w:hAnsi="Calibri"/>
          <w:b w:val="0"/>
          <w:i/>
          <w:color w:val="6B7280"/>
          <w:sz w:val="20"/>
        </w:rPr>
        <w:t>Fictief accountantskantoor, 45 medewerkers, verwerkt financiële cliëntdossiers. Kritieke systemen: cloud-boekhoudplatform, VPN voor thuiswerkers, AD/SSO. Sector: financiële dienstverlening (verhoogde logeisen AVG + Wwft).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204"/>
        <w:gridCol w:w="1300"/>
        <w:gridCol w:w="1300"/>
        <w:gridCol w:w="1700"/>
        <w:gridCol w:w="20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Systeem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Login-logs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Wijzig.-logs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Centrale opslag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Retentie actief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Microsoft 365 / Azure AD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Azure Log Analytics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20"/>
              </w:rPr>
              <w:t>24 mnd ✓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Twinfield (cloud boekhouding)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SIEM (Elastic)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20"/>
              </w:rPr>
              <w:t>36 mnd ✓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Fortinet firewall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SIEM (Elastic)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20"/>
              </w:rPr>
              <w:t>12 mnd ✓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VPN (Cisco AnyConnect)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Ja ✓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SIEM (Elastic)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20"/>
              </w:rPr>
              <w:t>12 mnd ✓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374151"/>
          <w:sz w:val="20"/>
        </w:rPr>
        <w:t>Bevinding: Endpoints (laptops accountants) hebben geen centrale logforwarding. Actieplan: EDR-agent uitbreiden met log-forwarding naar SIEM — deadline Q3 2026.</w:t>
      </w:r>
    </w:p>
    <w:p>
      <w:pPr>
        <w:spacing w:before="0" w:after="0"/>
      </w:pPr>
      <w:r>
        <w:br w:type="page"/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8 · Conclusie — Logging &amp; Cryptografie Status</w:t>
      </w:r>
      <w:r>
        <w:rPr>
          <w:rFonts w:ascii="Calibri" w:hAnsi="Calibri"/>
          <w:color w:val="1D4ED8"/>
          <w:sz w:val="16"/>
        </w:rPr>
        <w:t xml:space="preserve">    NIS2 Art. 21(2)(e)(h)  ·  ISO 27001 Cl. A.8.15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374151"/>
          <w:sz w:val="22"/>
        </w:rPr>
        <w:t>Samenvatting van de logging- en cryptografiestatus. Vul in op basis van §3b (logcategorieën) en §3d (cryptografie). Dit overzicht is input voor de jaarlijkse directiebeoordeling (Module 8).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700"/>
        <w:gridCol w:w="2700"/>
        <w:gridCol w:w="1400"/>
        <w:gridCol w:w="1504"/>
        <w:gridCol w:w="2200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Actie / bevinding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Prioriteit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Deadline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1C1C2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Verantwoordelijke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1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2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3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4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7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4ED8"/>
                <w:sz w:val="22"/>
              </w:rPr>
              <w:t>5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2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{{INVULLEN}}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color w:val="374151"/>
          <w:sz w:val="22"/>
        </w:rPr>
        <w:t>Logdekking kritieke systemen: {{X}} van {{Y}} volledig gecentraliseerd.  Encryptie at rest: {{N}} van {{M}} systemen conform AES-256.  Retentie compliant: {{Z}}% categorieën boven minimum.</w:t>
      </w:r>
    </w:p>
    <w:p>
      <w:pPr>
        <w:spacing w:before="0" w:after="160"/>
      </w:pPr>
      <w:r>
        <w:rPr>
          <w:rFonts w:ascii="Calibri" w:hAnsi="Calibri"/>
          <w:b w:val="0"/>
          <w:i/>
          <w:color w:val="1D4ED8"/>
          <w:sz w:val="22"/>
        </w:rPr>
        <w:t>→ Volgende stap: Module 8 — Jaarlijkse Review — Voer de directiebeoordeling uit en documenteer de NIS2-compliance status van de gehele organisatie.</w:t>
      </w:r>
    </w:p>
    <w:p>
      <w:pPr>
        <w:spacing w:before="0" w:after="0"/>
      </w:pPr>
      <w:r>
        <w:br w:type="page"/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9 · Verklaring &amp; Ondertekening</w:t>
      </w:r>
      <w:r>
        <w:rPr>
          <w:rFonts w:ascii="Calibri" w:hAnsi="Calibri"/>
          <w:color w:val="1D4ED8"/>
          <w:sz w:val="16"/>
        </w:rPr>
        <w:t xml:space="preserve">    NIS2 Art. 21(1)  ·  ISO 27001 Cl. 5.1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374151"/>
          <w:sz w:val="22"/>
        </w:rPr>
        <w:t>De ondergetekende verklaart dat de in dit document beschreven logging-, monitoring- en cryptografiemaatregelen een accurate weergave vormen van de huidige en geplande stand van implementatie. Dit document is opgesteld als onderdeel van het NIS2 / Cyberbeveiligingswet compliance-programma en is beschikbaar voor inzage door bevoegde toezichthouders.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000"/>
        <w:gridCol w:w="4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Organisatienaam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{{BEDRIJFSNAAM}}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Naam ondertekenaar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DIRECTEUR}}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Functie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{{FUNCTIE}}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000" w:type="dxa"/>
            <w:shd w:val="clear" w:color="auto" w:fill="F5F5F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4151"/>
                <w:sz w:val="20"/>
              </w:rPr>
              <w:t>Handtekening &amp; datum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504" w:type="dxa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 xml:space="preserve">  </w:t>
              <w:br/>
              <w:t xml:space="preserve">  </w:t>
              <w:br/>
              <w:t>{{HANDTEKENING}}  ·  Datum: {{DATUM}}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B7280"/>
          <w:sz w:val="18"/>
        </w:rPr>
        <w:t>Door ondertekening bevestigt de directie kennis te hebben genomen van dit document en de verantwoordelijkheid te dragen voor de implementatie van het logbeleid en cryptografiebeleid.</w:t>
      </w:r>
    </w:p>
    <w:p>
      <w:pPr>
        <w:spacing w:before="0" w:after="0"/>
      </w:pPr>
      <w:r>
        <w:br w:type="page"/>
      </w:r>
    </w:p>
    <w:p>
      <w:pPr>
        <w:spacing w:before="0" w:after="0"/>
        <w:pBdr>
          <w:top w:val="single" w:sz="20" w:space="1" w:color="1c1c2e"/>
        </w:pBdr>
      </w:pPr>
    </w:p>
    <w:p>
      <w:pPr>
        <w:spacing w:before="800" w:after="0"/>
        <w:jc w:val="center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BTechGids_trim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0"/>
        <w:jc w:val="center"/>
      </w:pPr>
    </w:p>
    <w:p>
      <w:pPr>
        <w:spacing w:before="0" w:after="360"/>
        <w:pBdr>
          <w:bottom w:val="single" w:sz="4" w:space="1" w:color="e5e7eb"/>
        </w:pBdr>
      </w:pPr>
    </w:p>
    <w:p>
      <w:pPr>
        <w:spacing w:before="0" w:after="100"/>
        <w:jc w:val="center"/>
      </w:pPr>
      <w:r>
        <w:rPr>
          <w:rFonts w:ascii="Calibri" w:hAnsi="Calibri"/>
          <w:b w:val="0"/>
          <w:i/>
          <w:color w:val="6B7280"/>
          <w:sz w:val="18"/>
        </w:rPr>
        <w:t>Ontwikkeld en uitgegeven door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C1C2E"/>
          <w:sz w:val="36"/>
        </w:rPr>
        <w:t>MKBTechGids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14532D"/>
          <w:sz w:val="20"/>
        </w:rPr>
        <w:t>Technologie met vertrouwen</w:t>
      </w:r>
      <w:r>
        <w:rPr>
          <w:rFonts w:ascii="Calibri" w:hAnsi="Calibri"/>
          <w:b w:val="0"/>
          <w:i w:val="0"/>
          <w:color w:val="D1D5DB"/>
          <w:sz w:val="20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8"/>
        </w:rPr>
        <w:t xml:space="preserve">onderdeel van </w:t>
      </w:r>
      <w:r>
        <w:rPr>
          <w:rFonts w:ascii="Calibri" w:hAnsi="Calibri"/>
          <w:b/>
          <w:i w:val="0"/>
          <w:color w:val="1C1C2E"/>
          <w:sz w:val="18"/>
        </w:rPr>
        <w:t>TechLeadNL</w:t>
      </w:r>
    </w:p>
    <w:p>
      <w:pPr>
        <w:spacing w:before="400" w:after="0"/>
        <w:jc w:val="center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  <w:jc w:val="center"/>
      </w:tblPr>
      <w:tblGrid>
        <w:gridCol w:w="4252"/>
        <w:gridCol w:w="4252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techleadnl.nl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info@mkbtechgids.nl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Brielle, Zuid-Holland · Nederland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NIS2 Compliance Toolkit · Versie 1.0 · 2026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Module 7 — Documentatie &amp; Logging</w:t>
            </w:r>
          </w:p>
        </w:tc>
      </w:tr>
    </w:tbl>
    <w:p>
      <w:pPr>
        <w:spacing w:before="440" w:after="0"/>
        <w:jc w:val="center"/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14532D"/>
          <w:sz w:val="18"/>
        </w:rPr>
        <w:t>✓  Gratis regelgevingsupdates gedurende 12 maanden na aankoop</w:t>
      </w:r>
    </w:p>
    <w:p>
      <w:pPr>
        <w:spacing w:before="0" w:after="560"/>
        <w:jc w:val="center"/>
      </w:pPr>
      <w:r>
        <w:rPr>
          <w:rFonts w:ascii="Calibri" w:hAnsi="Calibri"/>
          <w:b w:val="0"/>
          <w:i w:val="0"/>
          <w:color w:val="D1D5DB"/>
          <w:sz w:val="16"/>
        </w:rPr>
        <w:t>Licentie voor één entiteit  ·  Niet voor doorverkoop of herverspreiding</w:t>
      </w:r>
    </w:p>
    <w:p>
      <w:pPr>
        <w:spacing w:before="0" w:after="160"/>
        <w:pBdr>
          <w:top w:val="single" w:sz="16" w:space="1" w:color="1c1c2e"/>
        </w:pBdr>
      </w:pPr>
    </w:p>
    <w:p>
      <w:pPr>
        <w:spacing w:before="160" w:after="0"/>
        <w:jc w:val="center"/>
      </w:pPr>
      <w:r>
        <w:rPr>
          <w:rFonts w:ascii="Calibri" w:hAnsi="Calibri"/>
          <w:b w:val="0"/>
          <w:i w:val="0"/>
          <w:color w:val="6B7280"/>
          <w:sz w:val="16"/>
        </w:rPr>
        <w:t xml:space="preserve">KVK </w:t>
      </w:r>
      <w:r>
        <w:rPr>
          <w:rFonts w:ascii="Calibri" w:hAnsi="Calibri"/>
          <w:b/>
          <w:i w:val="0"/>
          <w:color w:val="1C1C2E"/>
          <w:sz w:val="16"/>
        </w:rPr>
        <w:t>27348456</w:t>
      </w:r>
      <w:r>
        <w:rPr>
          <w:rFonts w:ascii="Calibri" w:hAnsi="Calibri"/>
          <w:b w:val="0"/>
          <w:i w:val="0"/>
          <w:color w:val="D1D5DB"/>
          <w:sz w:val="16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6"/>
        </w:rPr>
        <w:t xml:space="preserve">BTW </w:t>
      </w:r>
      <w:r>
        <w:rPr>
          <w:rFonts w:ascii="Calibri" w:hAnsi="Calibri"/>
          <w:b/>
          <w:i w:val="0"/>
          <w:color w:val="1C1C2E"/>
          <w:sz w:val="16"/>
        </w:rPr>
        <w:t>NL004968309B61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3000"/>
      <w:gridCol w:w="3000"/>
      <w:gridCol w:w="25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color w:val="6B7280"/>
              <w:sz w:val="14"/>
            </w:rPr>
            <w:t>{{BEDRIJFSNAAM}}  ·  Vertrouwelijk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1D4ED8"/>
              <w:sz w:val="14"/>
            </w:rPr>
            <w:t>NIS2 Art. 21(2)(a)  ·  ISO 27001 Cl. 6.1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504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color w:val="6B7280"/>
              <w:sz w:val="14"/>
            </w:rPr>
            <w:t xml:space="preserve">v1.0  ·  </w:t>
          </w:r>
          <w:r>
            <w:rPr>
              <w:rFonts w:ascii="Calibri" w:hAnsi="Calibri"/>
              <w:color w:val="6B7280"/>
              <w:sz w:val="14"/>
            </w:rPr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2200"/>
      <w:gridCol w:w="4100"/>
      <w:gridCol w:w="22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b/>
              <w:color w:val="1C1C2E"/>
              <w:sz w:val="16"/>
            </w:rPr>
            <w:t>NIS2  ·  M07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41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374151"/>
              <w:sz w:val="16"/>
            </w:rPr>
            <w:t>Documentatie &amp; Logging — NIS2 Module 7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4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i/>
              <w:color w:val="6B7280"/>
              <w:sz w:val="14"/>
            </w:rPr>
            <w:t>[ LOGO BEDRIJF ]</w:t>
          </w:r>
        </w:p>
      </w:tc>
    </w:tr>
  </w:tbl>
  <w:p>
    <w:pPr>
      <w:spacing w:before="0" w:after="0"/>
      <w:pBdr>
        <w:bottom w:val="single" w:sz="6" w:space="1" w:color="1c1c2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