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8504" w:type="dxa"/>
        <w:jc w:val="left"/>
      </w:tblPr>
      <w:tblGrid>
        <w:gridCol w:w="6000"/>
        <w:gridCol w:w="2504"/>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6000" w:type="dxa"/>
            <w:shd w:val="clear" w:color="auto" w:fill="1C1C2E"/>
            <w:tcMar>
              <w:top w:w="160" w:type="dxa"/>
              <w:bottom w:w="160" w:type="dxa"/>
              <w:left w:w="200" w:type="dxa"/>
              <w:right w:w="120" w:type="dxa"/>
            </w:tcMar>
          </w:tcPr>
          <w:p>
            <w:pPr>
              <w:spacing w:after="40"/>
            </w:pPr>
            <w:r>
              <w:rPr>
                <w:rFonts w:ascii="Calibri" w:hAnsi="Calibri"/>
                <w:b/>
                <w:i w:val="0"/>
                <w:color w:val="9CA3AF"/>
                <w:sz w:val="18"/>
              </w:rPr>
              <w:t>MODULE 8</w:t>
            </w:r>
          </w:p>
          <w:p>
            <w:r>
              <w:rPr>
                <w:rFonts w:ascii="Calibri" w:hAnsi="Calibri"/>
                <w:b/>
                <w:i w:val="0"/>
                <w:color w:val="FFFFFF"/>
                <w:sz w:val="36"/>
              </w:rPr>
              <w:t>Jaarlijkse Review &amp; Directiebeoordeling</w:t>
            </w:r>
          </w:p>
          <w:p>
            <w:r>
              <w:rPr>
                <w:rFonts w:ascii="Calibri" w:hAnsi="Calibri"/>
                <w:b w:val="0"/>
                <w:i w:val="0"/>
                <w:color w:val="9CA3AF"/>
                <w:sz w:val="18"/>
              </w:rPr>
              <w:t>Compliance-status · KPI-dashboard · Directieverklaring  ·  NIS2 Art. 21(2)(f)  ·  ISO 27001 Cl. 9.3</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1C1C2E"/>
            <w:tcMar>
              <w:top w:w="160" w:type="dxa"/>
              <w:bottom w:w="160" w:type="dxa"/>
              <w:left w:w="120" w:type="dxa"/>
              <w:right w:w="200" w:type="dxa"/>
            </w:tcMar>
          </w:tcPr>
          <w:p>
            <w:pPr>
              <w:jc w:val="right"/>
            </w:pPr>
            <w:r>
              <w:rPr>
                <w:rFonts w:ascii="Calibri" w:hAnsi="Calibri"/>
                <w:b/>
                <w:i w:val="0"/>
                <w:color w:val="9CA3AF"/>
                <w:sz w:val="20"/>
              </w:rPr>
              <w:t>MKBTechGids</w:t>
            </w:r>
          </w:p>
          <w:p>
            <w:pPr>
              <w:jc w:val="right"/>
            </w:pPr>
            <w:r>
              <w:rPr>
                <w:rFonts w:ascii="Calibri" w:hAnsi="Calibri"/>
                <w:b w:val="0"/>
                <w:i w:val="0"/>
                <w:color w:val="6B7280"/>
                <w:sz w:val="16"/>
              </w:rPr>
              <w:t>NIS2 Compliance Toolkit</w:t>
            </w:r>
          </w:p>
          <w:p>
            <w:pPr>
              <w:jc w:val="right"/>
            </w:pPr>
            <w:r>
              <w:rPr>
                <w:rFonts w:ascii="Calibri" w:hAnsi="Calibri"/>
                <w:b w:val="0"/>
                <w:i w:val="0"/>
                <w:color w:val="6B7280"/>
                <w:sz w:val="16"/>
              </w:rPr>
              <w:t>v1.0  ·  2026</w:t>
            </w:r>
          </w:p>
        </w:tc>
      </w:tr>
    </w:tbl>
    <w:p>
      <w:pPr>
        <w:spacing w:before="160" w:after="0"/>
      </w:pPr>
    </w:p>
    <w:p>
      <w:pPr>
        <w:spacing w:before="280" w:after="120"/>
        <w:keepNext w:val="1"/>
        <w:pBdr>
          <w:left w:val="single" w:sz="18" w:space="4" w:color="1c1c2e"/>
        </w:pBdr>
        <w:shd w:val="clear" w:color="auto" w:fill="F5F5F5"/>
        <w:ind w:left="180"/>
      </w:pPr>
      <w:r>
        <w:rPr>
          <w:rFonts w:ascii="Calibri" w:hAnsi="Calibri"/>
          <w:b/>
          <w:color w:val="1C1C2E"/>
          <w:sz w:val="20"/>
        </w:rPr>
        <w:t>1 · Doel &amp; Reikwijdte</w:t>
      </w:r>
      <w:r>
        <w:rPr>
          <w:rFonts w:ascii="Calibri" w:hAnsi="Calibri"/>
          <w:color w:val="1D4ED8"/>
          <w:sz w:val="16"/>
        </w:rPr>
        <w:t xml:space="preserve">    NIS2 Art. 21(2)(f)  ·  ISO 27001 Cl. 9.1, 9.3, 10.2</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Doel</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Dit module structureert de jaarlijkse directiebeoordeling van het NIS2-compliance programma. Het biedt een complete status per module, een KPI-dashboard, een overzicht van incidenten en verbeterpunten uit het afgelopen jaar, en een ondertekende directieverklaring voor het volgend jaar — conform NIS2 Art. 21(2)(f).</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Reikwijdte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Alle modules (1–7) van de NIS2 Compliance Toolkit en de bijbehorende XLSX-registers: Module 1 (scope) · Module 2 (risico's) · Module 3 (maatregelen) · Module 4 (leveranciers) · Module 5 (continuïteit) · Module 6 (medewerkers) · Module 7 (logging &amp; cryptografie) + alle XLSX-registers.</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Relatie andere modules</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Input: alle Modules 1–7 + Registers + incidentlogboek + trainingsregisters</w:t>
              <w:br/>
              <w:t>Output: compliance-dossier voor toezichthouder + actieprogramma volgend jaar</w:t>
              <w:br/>
              <w:t>Cyclus: jaarlijks uitvoeren — bij voorkeur Q4 voor de auditperiode</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Verplichte voorwaarden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 Modules 1–7: VOLTOOID (minimaal Module 1, 2, 3)</w:t>
              <w:br/>
              <w:t>☐ Alle XLSX-registers: BIJGEWERKT</w:t>
              <w:br/>
              <w:t>☐ Incidentenlogboek afgelopen jaar: BESCHIKBAAR</w:t>
              <w:br/>
              <w:t>☐ Trainingsregisters Module 6: BESCHIKBAAR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Geschatte invultijd</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±3–4 uur  |  Directie + CISO + IT-beheerder gezamenlijk (managementmeeting)</w:t>
              <w:br/>
              <w:t>Totale toolkit M1–M8: ±24–30 uur (profiel A) · ±18–22 uur (B) · ±10–14 uur (C)</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Eigenaar</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DIRECTEUR / CEO}}  ·  Datum: {{DATUM}}  ·  Versie: 1.0</w:t>
            </w:r>
          </w:p>
        </w:tc>
      </w:tr>
    </w:tbl>
    <w:p>
      <w:pPr>
        <w:spacing w:before="280" w:after="120"/>
        <w:keepNext w:val="1"/>
        <w:pBdr>
          <w:left w:val="single" w:sz="18" w:space="4" w:color="1c1c2e"/>
        </w:pBdr>
        <w:shd w:val="clear" w:color="auto" w:fill="F5F5F5"/>
        <w:ind w:left="180"/>
      </w:pPr>
      <w:r>
        <w:rPr>
          <w:rFonts w:ascii="Calibri" w:hAnsi="Calibri"/>
          <w:b/>
          <w:color w:val="1C1C2E"/>
          <w:sz w:val="20"/>
        </w:rPr>
        <w:t>2 · RACI-tabel — Verantwoordelijkheden</w:t>
      </w:r>
      <w:r>
        <w:rPr>
          <w:rFonts w:ascii="Calibri" w:hAnsi="Calibri"/>
          <w:color w:val="1D4ED8"/>
          <w:sz w:val="16"/>
        </w:rPr>
        <w:t xml:space="preserve">    NIS2 Art. 21(1)  ·  ISO 27001 Cl. 5.1, 9.3</w:t>
      </w:r>
    </w:p>
    <w:tbl>
      <w:tblPr>
        <w:tblW w:type="auto" w:w="0"/>
        <w:tblLook w:firstColumn="1" w:firstRow="1" w:lastColumn="0" w:lastRow="0" w:noHBand="0" w:noVBand="1" w:val="04A0"/>
        <w:tblW w:w="8504" w:type="dxa"/>
        <w:jc w:val="left"/>
      </w:tblPr>
      <w:tblGrid>
        <w:gridCol w:w="3204"/>
        <w:gridCol w:w="1200"/>
        <w:gridCol w:w="1200"/>
        <w:gridCol w:w="1200"/>
        <w:gridCol w:w="17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Activiteit</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Directie</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CISO</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IT-beheerder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HR / Compliance</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Jaarlijkse review plannen en leiden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jc w:val="center"/>
            </w:pPr>
            <w:r>
              <w:rPr>
                <w:rFonts w:ascii="Calibri" w:hAnsi="Calibri"/>
                <w:b/>
                <w:i w:val="0"/>
                <w:color w:val="374151"/>
                <w:sz w:val="22"/>
              </w:rPr>
              <w:t>I</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Compliance-status per module vaststellen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KPI-dashboard samenstellen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Actieprogramma volgend jaar opstellen</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5E7"/>
            <w:tcMar>
              <w:top w:w="70" w:type="dxa"/>
              <w:bottom w:w="70" w:type="dxa"/>
              <w:left w:w="100" w:type="dxa"/>
              <w:right w:w="100" w:type="dxa"/>
            </w:tcMar>
          </w:tcPr>
          <w:p>
            <w:pPr>
              <w:spacing w:after="0"/>
              <w:jc w:val="center"/>
            </w:pPr>
            <w:r>
              <w:rPr>
                <w:rFonts w:ascii="Calibri" w:hAnsi="Calibri"/>
                <w:b/>
                <w:i w:val="0"/>
                <w:color w:val="374151"/>
                <w:sz w:val="22"/>
              </w:rPr>
              <w:t>A</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DCFCE7"/>
            <w:tcMar>
              <w:top w:w="70" w:type="dxa"/>
              <w:bottom w:w="70" w:type="dxa"/>
              <w:left w:w="100" w:type="dxa"/>
              <w:right w:w="100" w:type="dxa"/>
            </w:tcMar>
          </w:tcPr>
          <w:p>
            <w:pPr>
              <w:spacing w:after="0"/>
              <w:jc w:val="center"/>
            </w:pPr>
            <w:r>
              <w:rPr>
                <w:rFonts w:ascii="Calibri" w:hAnsi="Calibri"/>
                <w:b/>
                <w:i w:val="0"/>
                <w:color w:val="374151"/>
                <w:sz w:val="22"/>
              </w:rPr>
              <w:t>R</w:t>
            </w:r>
          </w:p>
        </w:tc>
        <w:tc>
          <w:tcPr>
            <w:tcW w:type="dxa" w:w="1701"/>
            <w:tcBorders>
              <w:top w:val="single" w:sz="4" w:space="0" w:color="E5E7EB"/>
              <w:bottom w:val="single" w:sz="4" w:space="0" w:color="E5E7EB"/>
              <w:left w:val="single" w:sz="4" w:space="0" w:color="E5E7EB"/>
              <w:right w:val="single" w:sz="4" w:space="0" w:color="E5E7EB"/>
            </w:tcBorders>
            <w:tcW w:w="12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c>
          <w:tcPr>
            <w:tcW w:type="dxa" w:w="1701"/>
            <w:tcBorders>
              <w:top w:val="single" w:sz="4" w:space="0" w:color="E5E7EB"/>
              <w:bottom w:val="single" w:sz="4" w:space="0" w:color="E5E7EB"/>
              <w:left w:val="single" w:sz="4" w:space="0" w:color="E5E7EB"/>
              <w:right w:val="single" w:sz="4" w:space="0" w:color="E5E7EB"/>
            </w:tcBorders>
            <w:tcW w:w="1700" w:type="dxa"/>
            <w:shd w:val="clear" w:color="auto" w:fill="EFF6FF"/>
            <w:tcMar>
              <w:top w:w="70" w:type="dxa"/>
              <w:bottom w:w="70" w:type="dxa"/>
              <w:left w:w="100" w:type="dxa"/>
              <w:right w:w="100" w:type="dxa"/>
            </w:tcMar>
          </w:tcPr>
          <w:p>
            <w:pPr>
              <w:spacing w:after="0"/>
              <w:jc w:val="center"/>
            </w:pPr>
            <w:r>
              <w:rPr>
                <w:rFonts w:ascii="Calibri" w:hAnsi="Calibri"/>
                <w:b/>
                <w:i w:val="0"/>
                <w:color w:val="374151"/>
                <w:sz w:val="22"/>
              </w:rPr>
              <w:t>C</w:t>
            </w:r>
          </w:p>
        </w:tc>
      </w:tr>
    </w:tbl>
    <w:p>
      <w:pPr>
        <w:spacing w:before="0" w:after="80"/>
      </w:pPr>
      <w:r>
        <w:rPr>
          <w:rFonts w:ascii="Calibri" w:hAnsi="Calibri"/>
          <w:b w:val="0"/>
          <w:i/>
          <w:color w:val="6B7280"/>
          <w:sz w:val="18"/>
        </w:rPr>
        <w:t>R = Responsible (uitvoerend)  ·  A = Accountable (eindverantwoordelijk)  ·  C = Consulted (geraadpleegd)  ·  I = Informed (geïnformeerd)</w:t>
      </w:r>
    </w:p>
    <w:p>
      <w:pPr>
        <w:spacing w:before="280" w:after="120"/>
        <w:keepNext w:val="1"/>
        <w:pBdr>
          <w:left w:val="single" w:sz="18" w:space="4" w:color="1c1c2e"/>
        </w:pBdr>
        <w:shd w:val="clear" w:color="auto" w:fill="F5F5F5"/>
        <w:ind w:left="180"/>
      </w:pPr>
      <w:r>
        <w:rPr>
          <w:rFonts w:ascii="Calibri" w:hAnsi="Calibri"/>
          <w:b/>
          <w:color w:val="1C1C2E"/>
          <w:sz w:val="20"/>
        </w:rPr>
        <w:t>3 · Compliance-status per module — Jaaroverzicht</w:t>
      </w:r>
      <w:r>
        <w:rPr>
          <w:rFonts w:ascii="Calibri" w:hAnsi="Calibri"/>
          <w:color w:val="1D4ED8"/>
          <w:sz w:val="16"/>
        </w:rPr>
        <w:t xml:space="preserve">    NIS2 Art. 21(2)(f)  ·  ISO 27001 Cl. 9.1</w:t>
      </w:r>
    </w:p>
    <w:p>
      <w:pPr>
        <w:spacing w:before="0" w:after="120"/>
      </w:pPr>
      <w:r>
        <w:rPr>
          <w:rFonts w:ascii="Calibri" w:hAnsi="Calibri"/>
          <w:b w:val="0"/>
          <w:i/>
          <w:color w:val="6B7280"/>
          <w:sz w:val="20"/>
        </w:rPr>
        <w:t>Beoordeel per module de implementatiestatus op basis van de ingevulde documenten en onderliggende registers. Gebruik de RAG-schaal: Groen = volledig geïmplementeerd en bewijs beschikbaar · Amber = gedeeltelijk of in uitvoering · Rood = niet geïmplementeerd of bewijs ontbreekt.</w:t>
      </w:r>
    </w:p>
    <w:p>
      <w:pPr>
        <w:spacing w:before="280" w:after="120"/>
        <w:keepNext w:val="1"/>
        <w:pBdr>
          <w:left w:val="single" w:sz="18" w:space="4" w:color="1c1c2e"/>
        </w:pBdr>
        <w:shd w:val="clear" w:color="auto" w:fill="F5F5F5"/>
        <w:ind w:left="180"/>
      </w:pPr>
      <w:r>
        <w:rPr>
          <w:rFonts w:ascii="Calibri" w:hAnsi="Calibri"/>
          <w:b/>
          <w:color w:val="1C1C2E"/>
          <w:sz w:val="20"/>
        </w:rPr>
        <w:t>3a · Modulestatusmatrix — NIS2 Art. 21(2) dekking</w:t>
      </w:r>
      <w:r>
        <w:rPr>
          <w:rFonts w:ascii="Calibri" w:hAnsi="Calibri"/>
          <w:color w:val="1D4ED8"/>
          <w:sz w:val="16"/>
        </w:rPr>
        <w:t xml:space="preserve">    NIS2 Art. 21(2)(f)  ·  ISO 27001 Cl. 9.1</w:t>
      </w:r>
    </w:p>
    <w:tbl>
      <w:tblPr>
        <w:tblW w:type="auto" w:w="0"/>
        <w:tblLook w:firstColumn="1" w:firstRow="1" w:lastColumn="0" w:lastRow="0" w:noHBand="0" w:noVBand="1" w:val="04A0"/>
        <w:tblW w:w="8504" w:type="dxa"/>
        <w:jc w:val="left"/>
      </w:tblPr>
      <w:tblGrid>
        <w:gridCol w:w="2204"/>
        <w:gridCol w:w="2000"/>
        <w:gridCol w:w="1100"/>
        <w:gridCol w:w="1100"/>
        <w:gridCol w:w="1100"/>
        <w:gridCol w:w="1000"/>
      </w:tblGrid>
      <w:tblGrid>
        <w:gridCol w:w="1417"/>
        <w:gridCol w:w="1417"/>
        <w:gridCol w:w="1417"/>
        <w:gridCol w:w="1417"/>
        <w:gridCol w:w="1417"/>
        <w:gridCol w:w="1417"/>
      </w:tblGrid>
      <w:tr>
        <w:trPr>
          <w:cantSplit w:val="1"/>
          <w:tblHeader/>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1C1C2E"/>
            <w:tcMar>
              <w:top w:w="70" w:type="dxa"/>
              <w:bottom w:w="70" w:type="dxa"/>
              <w:left w:w="100" w:type="dxa"/>
              <w:right w:w="100" w:type="dxa"/>
            </w:tcMar>
          </w:tcPr>
          <w:p>
            <w:pPr>
              <w:spacing w:after="0"/>
            </w:pPr>
            <w:r>
              <w:rPr>
                <w:rFonts w:ascii="Calibri" w:hAnsi="Calibri"/>
                <w:b/>
                <w:i w:val="0"/>
                <w:color w:val="FFFFFF"/>
                <w:sz w:val="18"/>
              </w:rPr>
              <w:t>Module</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1C1C2E"/>
            <w:tcMar>
              <w:top w:w="70" w:type="dxa"/>
              <w:bottom w:w="70" w:type="dxa"/>
              <w:left w:w="100" w:type="dxa"/>
              <w:right w:w="100" w:type="dxa"/>
            </w:tcMar>
          </w:tcPr>
          <w:p>
            <w:pPr>
              <w:spacing w:after="0"/>
            </w:pPr>
            <w:r>
              <w:rPr>
                <w:rFonts w:ascii="Calibri" w:hAnsi="Calibri"/>
                <w:b/>
                <w:i w:val="0"/>
                <w:color w:val="FFFFFF"/>
                <w:sz w:val="18"/>
              </w:rPr>
              <w:t>NIS2-verplichting</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1C1C2E"/>
            <w:tcMar>
              <w:top w:w="70" w:type="dxa"/>
              <w:bottom w:w="70" w:type="dxa"/>
              <w:left w:w="100" w:type="dxa"/>
              <w:right w:w="100" w:type="dxa"/>
            </w:tcMar>
          </w:tcPr>
          <w:p>
            <w:pPr>
              <w:spacing w:after="0"/>
            </w:pPr>
            <w:r>
              <w:rPr>
                <w:rFonts w:ascii="Calibri" w:hAnsi="Calibri"/>
                <w:b/>
                <w:i w:val="0"/>
                <w:color w:val="FFFFFF"/>
                <w:sz w:val="18"/>
              </w:rPr>
              <w:t>Bewijs aanwezig</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1C1C2E"/>
            <w:tcMar>
              <w:top w:w="70" w:type="dxa"/>
              <w:bottom w:w="70" w:type="dxa"/>
              <w:left w:w="100" w:type="dxa"/>
              <w:right w:w="100" w:type="dxa"/>
            </w:tcMar>
          </w:tcPr>
          <w:p>
            <w:pPr>
              <w:spacing w:after="0"/>
            </w:pPr>
            <w:r>
              <w:rPr>
                <w:rFonts w:ascii="Calibri" w:hAnsi="Calibri"/>
                <w:b/>
                <w:i w:val="0"/>
                <w:color w:val="FFFFFF"/>
                <w:sz w:val="18"/>
              </w:rPr>
              <w:t>Ondertekend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1C1C2E"/>
            <w:tcMar>
              <w:top w:w="70" w:type="dxa"/>
              <w:bottom w:w="70" w:type="dxa"/>
              <w:left w:w="100" w:type="dxa"/>
              <w:right w:w="100" w:type="dxa"/>
            </w:tcMar>
          </w:tcPr>
          <w:p>
            <w:pPr>
              <w:spacing w:after="0"/>
            </w:pPr>
            <w:r>
              <w:rPr>
                <w:rFonts w:ascii="Calibri" w:hAnsi="Calibri"/>
                <w:b/>
                <w:i w:val="0"/>
                <w:color w:val="FFFFFF"/>
                <w:sz w:val="18"/>
              </w:rPr>
              <w:t>Versie</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M1 · Zelfevaluatie</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Art. 21(2)(a) — Risicobeoordeling &amp; scope</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M2 · Risicoanalyse</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Art. 21(2)(a) — Risicobeoordelings-methodiek</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M3 · Beveiligingsmaatregelen</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Art. 21(2)(a–j) — Technische &amp; org. maatregelen</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M4 · Leveranciers</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Art. 21(2)(d) — Toeleveringsketen beveiliging</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M5 · Bedrijfscontinuïteit</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Art. 21(2)(c) — BCP/DRP/crisismanagement</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M6 · Medewerkers</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Art. 21(2)(g)(i) — HR &amp; bewustzijn</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M7 · Documentatie &amp; Logging</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Art. 21(2)(e)(h) — Logging &amp; cryptografie</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FFFFF"/>
            <w:tcMar>
              <w:top w:w="70" w:type="dxa"/>
              <w:bottom w:w="70" w:type="dxa"/>
              <w:left w:w="100" w:type="dxa"/>
              <w:right w:w="100" w:type="dxa"/>
            </w:tcMar>
          </w:tcPr>
          <w:p>
            <w:pPr>
              <w:spacing w:after="0"/>
              <w:jc w:val="center"/>
            </w:pPr>
            <w:r>
              <w:rPr>
                <w:rFonts w:ascii="Calibri" w:hAnsi="Calibri"/>
                <w:b/>
                <w:color w:val="713F12"/>
                <w:sz w:val="22"/>
                <w:highlight w:val="yellow"/>
              </w:rPr>
              <w:t>{{v#}}</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2204" w:type="dxa"/>
            <w:shd w:val="clear" w:color="auto" w:fill="EFF6FF"/>
            <w:tcMar>
              <w:top w:w="70" w:type="dxa"/>
              <w:bottom w:w="70" w:type="dxa"/>
              <w:left w:w="100" w:type="dxa"/>
              <w:right w:w="100" w:type="dxa"/>
            </w:tcMar>
          </w:tcPr>
          <w:p>
            <w:pPr>
              <w:spacing w:after="0"/>
            </w:pPr>
            <w:r>
              <w:rPr>
                <w:rFonts w:ascii="Calibri" w:hAnsi="Calibri"/>
                <w:b/>
                <w:i w:val="0"/>
                <w:color w:val="1D4ED8"/>
                <w:sz w:val="20"/>
              </w:rPr>
              <w:t>M8 · Jaarlijkse Review</w:t>
            </w:r>
          </w:p>
        </w:tc>
        <w:tc>
          <w:tcPr>
            <w:tcW w:type="dxa" w:w="1417"/>
            <w:tcBorders>
              <w:top w:val="single" w:sz="4" w:space="0" w:color="E5E7EB"/>
              <w:bottom w:val="single" w:sz="4" w:space="0" w:color="E5E7EB"/>
              <w:left w:val="single" w:sz="4" w:space="0" w:color="E5E7EB"/>
              <w:right w:val="single" w:sz="4" w:space="0" w:color="E5E7EB"/>
            </w:tcBorders>
            <w:tcW w:w="20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Art. 21(2)(f) — Effectiviteitsbeoordeling</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1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{{Groen / Amber / Rood}}</w:t>
            </w:r>
          </w:p>
        </w:tc>
        <w:tc>
          <w:tcPr>
            <w:tcW w:type="dxa" w:w="1417"/>
            <w:tcBorders>
              <w:top w:val="single" w:sz="4" w:space="0" w:color="E5E7EB"/>
              <w:bottom w:val="single" w:sz="4" w:space="0" w:color="E5E7EB"/>
              <w:left w:val="single" w:sz="4" w:space="0" w:color="E5E7EB"/>
              <w:right w:val="single" w:sz="4" w:space="0" w:color="E5E7EB"/>
            </w:tcBorders>
            <w:tcW w:w="1000" w:type="dxa"/>
            <w:shd w:val="clear" w:color="auto" w:fill="F9FAFB"/>
            <w:tcMar>
              <w:top w:w="70" w:type="dxa"/>
              <w:bottom w:w="70" w:type="dxa"/>
              <w:left w:w="100" w:type="dxa"/>
              <w:right w:w="100" w:type="dxa"/>
            </w:tcMar>
          </w:tcPr>
          <w:p>
            <w:pPr>
              <w:spacing w:after="0"/>
              <w:jc w:val="center"/>
            </w:pPr>
            <w:r>
              <w:rPr>
                <w:rFonts w:ascii="Calibri" w:hAnsi="Calibri"/>
                <w:b/>
                <w:color w:val="713F12"/>
                <w:sz w:val="22"/>
                <w:highlight w:val="yellow"/>
              </w:rPr>
              <w:t>{{v#}}</w:t>
            </w:r>
          </w:p>
        </w:tc>
      </w:tr>
    </w:tbl>
    <w:p>
      <w:pPr>
        <w:spacing w:before="280" w:after="120"/>
        <w:keepNext w:val="1"/>
        <w:pBdr>
          <w:left w:val="single" w:sz="18" w:space="4" w:color="1c1c2e"/>
        </w:pBdr>
        <w:shd w:val="clear" w:color="auto" w:fill="F5F5F5"/>
        <w:ind w:left="180"/>
      </w:pPr>
      <w:r>
        <w:rPr>
          <w:rFonts w:ascii="Calibri" w:hAnsi="Calibri"/>
          <w:b/>
          <w:color w:val="1C1C2E"/>
          <w:sz w:val="20"/>
        </w:rPr>
        <w:t>3b · KPI-dashboard — Sleutelindicatoren</w:t>
      </w:r>
      <w:r>
        <w:rPr>
          <w:rFonts w:ascii="Calibri" w:hAnsi="Calibri"/>
          <w:color w:val="1D4ED8"/>
          <w:sz w:val="16"/>
        </w:rPr>
        <w:t xml:space="preserve">    NIS2 Art. 21(2)(f)  ·  ISO 27001 Cl. 9.1</w:t>
      </w:r>
    </w:p>
    <w:p>
      <w:pPr>
        <w:spacing w:before="0" w:after="120"/>
      </w:pPr>
      <w:r>
        <w:rPr>
          <w:rFonts w:ascii="Calibri" w:hAnsi="Calibri"/>
          <w:b w:val="0"/>
          <w:i/>
          <w:color w:val="6B7280"/>
          <w:sz w:val="20"/>
        </w:rPr>
        <w:t>Vul de KPI's in op basis van de registers en module-uitkomsten van het afgelopen jaar.</w:t>
      </w:r>
    </w:p>
    <w:tbl>
      <w:tblPr>
        <w:tblW w:type="auto" w:w="0"/>
        <w:tblLook w:firstColumn="1" w:firstRow="1" w:lastColumn="0" w:lastRow="0" w:noHBand="0" w:noVBand="1" w:val="04A0"/>
        <w:tblW w:w="8504" w:type="dxa"/>
        <w:jc w:val="left"/>
      </w:tblPr>
      <w:tblGrid>
        <w:gridCol w:w="2800"/>
        <w:gridCol w:w="1100"/>
        <w:gridCol w:w="1400"/>
        <w:gridCol w:w="1604"/>
        <w:gridCol w:w="1600"/>
      </w:tblGrid>
      <w:tblGrid>
        <w:gridCol w:w="1701"/>
        <w:gridCol w:w="1701"/>
        <w:gridCol w:w="1701"/>
        <w:gridCol w:w="1701"/>
        <w:gridCol w:w="1701"/>
      </w:tblGrid>
      <w:tr>
        <w:trPr>
          <w:cantSplit w:val="1"/>
          <w:tblHeader/>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1C1C2E"/>
            <w:tcMar>
              <w:top w:w="70" w:type="dxa"/>
              <w:bottom w:w="70" w:type="dxa"/>
              <w:left w:w="100" w:type="dxa"/>
              <w:right w:w="100" w:type="dxa"/>
            </w:tcMar>
          </w:tcPr>
          <w:p>
            <w:pPr>
              <w:spacing w:after="0"/>
            </w:pPr>
            <w:r>
              <w:rPr>
                <w:rFonts w:ascii="Calibri" w:hAnsi="Calibri"/>
                <w:b/>
                <w:i w:val="0"/>
                <w:color w:val="FFFFFF"/>
                <w:sz w:val="18"/>
              </w:rPr>
              <w:t>KPI</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1C1C2E"/>
            <w:tcMar>
              <w:top w:w="70" w:type="dxa"/>
              <w:bottom w:w="70" w:type="dxa"/>
              <w:left w:w="100" w:type="dxa"/>
              <w:right w:w="100" w:type="dxa"/>
            </w:tcMar>
          </w:tcPr>
          <w:p>
            <w:pPr>
              <w:spacing w:after="0"/>
            </w:pPr>
            <w:r>
              <w:rPr>
                <w:rFonts w:ascii="Calibri" w:hAnsi="Calibri"/>
                <w:b/>
                <w:i w:val="0"/>
                <w:color w:val="FFFFFF"/>
                <w:sz w:val="18"/>
              </w:rPr>
              <w:t>Doel</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Huidig jaar</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1C1C2E"/>
            <w:tcMar>
              <w:top w:w="70" w:type="dxa"/>
              <w:bottom w:w="70" w:type="dxa"/>
              <w:left w:w="100" w:type="dxa"/>
              <w:right w:w="100" w:type="dxa"/>
            </w:tcMar>
          </w:tcPr>
          <w:p>
            <w:pPr>
              <w:spacing w:after="0"/>
            </w:pPr>
            <w:r>
              <w:rPr>
                <w:rFonts w:ascii="Calibri" w:hAnsi="Calibri"/>
                <w:b/>
                <w:i w:val="0"/>
                <w:color w:val="FFFFFF"/>
                <w:sz w:val="18"/>
              </w:rPr>
              <w:t>Vorig jaar</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1C1C2E"/>
            <w:tcMar>
              <w:top w:w="70" w:type="dxa"/>
              <w:bottom w:w="70" w:type="dxa"/>
              <w:left w:w="100" w:type="dxa"/>
              <w:right w:w="100" w:type="dxa"/>
            </w:tcMar>
          </w:tcPr>
          <w:p>
            <w:pPr>
              <w:spacing w:after="0"/>
            </w:pPr>
            <w:r>
              <w:rPr>
                <w:rFonts w:ascii="Calibri" w:hAnsi="Calibri"/>
                <w:b/>
                <w:i w:val="0"/>
                <w:color w:val="FFFFFF"/>
                <w:sz w:val="18"/>
              </w:rPr>
              <w:t>Trend</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 NIS2-modules volledig ingevuld en ondertekend</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100%</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Aantal significante beveiligingsincidenten</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0</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 medewerkers met voltooide jaarlijkse training</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100%</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Phishing-simulatie klikratio (gemiddeld)</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&lt;5%</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 kritieke systemen met centrale logging</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100%</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 leveranciers (Kritiek) met geldige beoordeling</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100%</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Backuphersteltest geslaagd (laatste 6 mnd)</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Ja</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{{Ja/Nee}}</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{{Ja/Nee}}</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Gemiddelde patchcyclus kritieke systemen</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≤30 dagen</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 dagen</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 dagen</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 / → / ↓}}</w:t>
            </w:r>
          </w:p>
        </w:tc>
      </w:tr>
      <w:tr>
        <w:trPr>
          <w:cantSplit w:val="1"/>
        </w:trPr>
        <w:tc>
          <w:tcPr>
            <w:tcW w:type="dxa" w:w="1701"/>
            <w:tcBorders>
              <w:top w:val="single" w:sz="4" w:space="0" w:color="E5E7EB"/>
              <w:bottom w:val="single" w:sz="4" w:space="0" w:color="E5E7EB"/>
              <w:left w:val="single" w:sz="4" w:space="0" w:color="E5E7EB"/>
              <w:right w:val="single" w:sz="4" w:space="0" w:color="E5E7EB"/>
            </w:tcBorders>
            <w:tcW w:w="28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NIS2-meldingen bij NCSC</w:t>
            </w:r>
          </w:p>
        </w:tc>
        <w:tc>
          <w:tcPr>
            <w:tcW w:type="dxa" w:w="1701"/>
            <w:tcBorders>
              <w:top w:val="single" w:sz="4" w:space="0" w:color="E5E7EB"/>
              <w:bottom w:val="single" w:sz="4" w:space="0" w:color="E5E7EB"/>
              <w:left w:val="single" w:sz="4" w:space="0" w:color="E5E7EB"/>
              <w:right w:val="single" w:sz="4" w:space="0" w:color="E5E7EB"/>
            </w:tcBorders>
            <w:tcW w:w="1100" w:type="dxa"/>
            <w:shd w:val="clear" w:color="auto" w:fill="F0FDF4"/>
            <w:tcMar>
              <w:top w:w="70" w:type="dxa"/>
              <w:bottom w:w="70" w:type="dxa"/>
              <w:left w:w="100" w:type="dxa"/>
              <w:right w:w="100" w:type="dxa"/>
            </w:tcMar>
          </w:tcPr>
          <w:p>
            <w:pPr>
              <w:spacing w:after="0"/>
              <w:jc w:val="center"/>
            </w:pPr>
            <w:r>
              <w:rPr>
                <w:rFonts w:ascii="Calibri" w:hAnsi="Calibri"/>
                <w:b/>
                <w:i w:val="0"/>
                <w:color w:val="15803D"/>
                <w:sz w:val="18"/>
              </w:rPr>
              <w:t>0 (of correct gemeld)</w:t>
            </w:r>
          </w:p>
        </w:tc>
        <w:tc>
          <w:tcPr>
            <w:tcW w:type="dxa" w:w="1701"/>
            <w:tcBorders>
              <w:top w:val="single" w:sz="4" w:space="0" w:color="E5E7EB"/>
              <w:bottom w:val="single" w:sz="4" w:space="0" w:color="E5E7EB"/>
              <w:left w:val="single" w:sz="4" w:space="0" w:color="E5E7EB"/>
              <w:right w:val="single" w:sz="4" w:space="0" w:color="E5E7EB"/>
            </w:tcBorders>
            <w:tcW w:w="14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w:t>
            </w:r>
          </w:p>
        </w:tc>
        <w:tc>
          <w:tcPr>
            <w:tcW w:type="dxa" w:w="1701"/>
            <w:tcBorders>
              <w:top w:val="single" w:sz="4" w:space="0" w:color="E5E7EB"/>
              <w:bottom w:val="single" w:sz="4" w:space="0" w:color="E5E7EB"/>
              <w:left w:val="single" w:sz="4" w:space="0" w:color="E5E7EB"/>
              <w:right w:val="single" w:sz="4" w:space="0" w:color="E5E7EB"/>
            </w:tcBorders>
            <w:tcW w:w="1604"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w:t>
            </w:r>
          </w:p>
        </w:tc>
        <w:tc>
          <w:tcPr>
            <w:tcW w:type="dxa" w:w="1701"/>
            <w:tcBorders>
              <w:top w:val="single" w:sz="4" w:space="0" w:color="E5E7EB"/>
              <w:bottom w:val="single" w:sz="4" w:space="0" w:color="E5E7EB"/>
              <w:left w:val="single" w:sz="4" w:space="0" w:color="E5E7EB"/>
              <w:right w:val="single" w:sz="4" w:space="0" w:color="E5E7EB"/>
            </w:tcBorders>
            <w:tcW w:w="1600" w:type="dxa"/>
            <w:shd w:val="clear" w:color="auto" w:fill="FFFBEB"/>
            <w:tcMar>
              <w:top w:w="70" w:type="dxa"/>
              <w:bottom w:w="70" w:type="dxa"/>
              <w:left w:w="100" w:type="dxa"/>
              <w:right w:w="100" w:type="dxa"/>
            </w:tcMar>
          </w:tcPr>
          <w:p>
            <w:pPr>
              <w:spacing w:after="0"/>
              <w:jc w:val="center"/>
            </w:pPr>
            <w:r>
              <w:rPr>
                <w:rFonts w:ascii="Calibri" w:hAnsi="Calibri"/>
                <w:b/>
                <w:color w:val="713F12"/>
                <w:sz w:val="22"/>
                <w:highlight w:val="yellow"/>
              </w:rPr>
              <w:t>{{n.v.t.}}</w:t>
            </w:r>
          </w:p>
        </w:tc>
      </w:tr>
    </w:tbl>
    <w:p>
      <w:pPr>
        <w:spacing w:before="280" w:after="120"/>
        <w:keepNext w:val="1"/>
        <w:pBdr>
          <w:left w:val="single" w:sz="18" w:space="4" w:color="1c1c2e"/>
        </w:pBdr>
        <w:shd w:val="clear" w:color="auto" w:fill="F5F5F5"/>
        <w:ind w:left="180"/>
      </w:pPr>
      <w:r>
        <w:rPr>
          <w:rFonts w:ascii="Calibri" w:hAnsi="Calibri"/>
          <w:b/>
          <w:color w:val="1C1C2E"/>
          <w:sz w:val="20"/>
        </w:rPr>
        <w:t>3c · Incidenten &amp; Bevindingen — Afgelopen jaar</w:t>
      </w:r>
      <w:r>
        <w:rPr>
          <w:rFonts w:ascii="Calibri" w:hAnsi="Calibri"/>
          <w:color w:val="1D4ED8"/>
          <w:sz w:val="16"/>
        </w:rPr>
        <w:t xml:space="preserve">    NIS2 Art. 21(2)(b)(f)  ·  ISO 27001 Cl. 9.1, 10.1</w:t>
      </w:r>
    </w:p>
    <w:p>
      <w:pPr>
        <w:spacing w:before="0" w:after="120"/>
      </w:pPr>
      <w:r>
        <w:rPr>
          <w:rFonts w:ascii="Calibri" w:hAnsi="Calibri"/>
          <w:b w:val="0"/>
          <w:i/>
          <w:color w:val="6B7280"/>
          <w:sz w:val="20"/>
        </w:rPr>
        <w:t>Documenteer significante beveiligingsincidenten en interne / externe auditbevindingen.</w:t>
      </w:r>
    </w:p>
    <w:tbl>
      <w:tblPr>
        <w:tblW w:type="auto" w:w="0"/>
        <w:tblLook w:firstColumn="1" w:firstRow="1" w:lastColumn="0" w:lastRow="0" w:noHBand="0" w:noVBand="1" w:val="04A0"/>
        <w:tblW w:w="8504" w:type="dxa"/>
        <w:jc w:val="left"/>
      </w:tblPr>
      <w:tblGrid>
        <w:gridCol w:w="1500"/>
        <w:gridCol w:w="1304"/>
        <w:gridCol w:w="1200"/>
        <w:gridCol w:w="1800"/>
        <w:gridCol w:w="1300"/>
        <w:gridCol w:w="1400"/>
      </w:tblGrid>
      <w:tblGrid>
        <w:gridCol w:w="1417"/>
        <w:gridCol w:w="1417"/>
        <w:gridCol w:w="1417"/>
        <w:gridCol w:w="1417"/>
        <w:gridCol w:w="1417"/>
        <w:gridCol w:w="1417"/>
      </w:tblGrid>
      <w:tr>
        <w:trPr>
          <w:cantSplit w:val="1"/>
          <w:tblHeader/>
        </w:trPr>
        <w:tc>
          <w:tcPr>
            <w:tcW w:type="dxa" w:w="1417"/>
            <w:tcBorders>
              <w:top w:val="single" w:sz="4" w:space="0" w:color="E5E7EB"/>
              <w:bottom w:val="single" w:sz="4" w:space="0" w:color="E5E7EB"/>
              <w:left w:val="single" w:sz="4" w:space="0" w:color="E5E7EB"/>
              <w:right w:val="single" w:sz="4" w:space="0" w:color="E5E7EB"/>
            </w:tcBorders>
            <w:tcW w:w="1500" w:type="dxa"/>
            <w:shd w:val="clear" w:color="auto" w:fill="1C1C2E"/>
            <w:tcMar>
              <w:top w:w="70" w:type="dxa"/>
              <w:bottom w:w="70" w:type="dxa"/>
              <w:left w:w="100" w:type="dxa"/>
              <w:right w:w="100" w:type="dxa"/>
            </w:tcMar>
          </w:tcPr>
          <w:p>
            <w:pPr>
              <w:spacing w:after="0"/>
            </w:pPr>
            <w:r>
              <w:rPr>
                <w:rFonts w:ascii="Calibri" w:hAnsi="Calibri"/>
                <w:b/>
                <w:i w:val="0"/>
                <w:color w:val="FFFFFF"/>
                <w:sz w:val="18"/>
              </w:rPr>
              <w:t>Datum</w:t>
            </w:r>
          </w:p>
        </w:tc>
        <w:tc>
          <w:tcPr>
            <w:tcW w:type="dxa" w:w="1417"/>
            <w:tcBorders>
              <w:top w:val="single" w:sz="4" w:space="0" w:color="E5E7EB"/>
              <w:bottom w:val="single" w:sz="4" w:space="0" w:color="E5E7EB"/>
              <w:left w:val="single" w:sz="4" w:space="0" w:color="E5E7EB"/>
              <w:right w:val="single" w:sz="4" w:space="0" w:color="E5E7EB"/>
            </w:tcBorders>
            <w:tcW w:w="1304" w:type="dxa"/>
            <w:shd w:val="clear" w:color="auto" w:fill="1C1C2E"/>
            <w:tcMar>
              <w:top w:w="70" w:type="dxa"/>
              <w:bottom w:w="70" w:type="dxa"/>
              <w:left w:w="100" w:type="dxa"/>
              <w:right w:w="100" w:type="dxa"/>
            </w:tcMar>
          </w:tcPr>
          <w:p>
            <w:pPr>
              <w:spacing w:after="0"/>
            </w:pPr>
            <w:r>
              <w:rPr>
                <w:rFonts w:ascii="Calibri" w:hAnsi="Calibri"/>
                <w:b/>
                <w:i w:val="0"/>
                <w:color w:val="FFFFFF"/>
                <w:sz w:val="18"/>
              </w:rPr>
              <w:t>Type</w:t>
            </w:r>
          </w:p>
        </w:tc>
        <w:tc>
          <w:tcPr>
            <w:tcW w:type="dxa" w:w="1417"/>
            <w:tcBorders>
              <w:top w:val="single" w:sz="4" w:space="0" w:color="E5E7EB"/>
              <w:bottom w:val="single" w:sz="4" w:space="0" w:color="E5E7EB"/>
              <w:left w:val="single" w:sz="4" w:space="0" w:color="E5E7EB"/>
              <w:right w:val="single" w:sz="4" w:space="0" w:color="E5E7EB"/>
            </w:tcBorders>
            <w:tcW w:w="1200" w:type="dxa"/>
            <w:shd w:val="clear" w:color="auto" w:fill="1C1C2E"/>
            <w:tcMar>
              <w:top w:w="70" w:type="dxa"/>
              <w:bottom w:w="70" w:type="dxa"/>
              <w:left w:w="100" w:type="dxa"/>
              <w:right w:w="100" w:type="dxa"/>
            </w:tcMar>
          </w:tcPr>
          <w:p>
            <w:pPr>
              <w:spacing w:after="0"/>
            </w:pPr>
            <w:r>
              <w:rPr>
                <w:rFonts w:ascii="Calibri" w:hAnsi="Calibri"/>
                <w:b/>
                <w:i w:val="0"/>
                <w:color w:val="FFFFFF"/>
                <w:sz w:val="18"/>
              </w:rPr>
              <w:t>Ernst</w:t>
            </w:r>
          </w:p>
        </w:tc>
        <w:tc>
          <w:tcPr>
            <w:tcW w:type="dxa" w:w="1417"/>
            <w:tcBorders>
              <w:top w:val="single" w:sz="4" w:space="0" w:color="E5E7EB"/>
              <w:bottom w:val="single" w:sz="4" w:space="0" w:color="E5E7EB"/>
              <w:left w:val="single" w:sz="4" w:space="0" w:color="E5E7EB"/>
              <w:right w:val="single" w:sz="4" w:space="0" w:color="E5E7EB"/>
            </w:tcBorders>
            <w:tcW w:w="1800" w:type="dxa"/>
            <w:shd w:val="clear" w:color="auto" w:fill="1C1C2E"/>
            <w:tcMar>
              <w:top w:w="70" w:type="dxa"/>
              <w:bottom w:w="70" w:type="dxa"/>
              <w:left w:w="100" w:type="dxa"/>
              <w:right w:w="100" w:type="dxa"/>
            </w:tcMar>
          </w:tcPr>
          <w:p>
            <w:pPr>
              <w:spacing w:after="0"/>
            </w:pPr>
            <w:r>
              <w:rPr>
                <w:rFonts w:ascii="Calibri" w:hAnsi="Calibri"/>
                <w:b/>
                <w:i w:val="0"/>
                <w:color w:val="FFFFFF"/>
                <w:sz w:val="18"/>
              </w:rPr>
              <w:t>Beschrijving</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1C1C2E"/>
            <w:tcMar>
              <w:top w:w="70" w:type="dxa"/>
              <w:bottom w:w="70" w:type="dxa"/>
              <w:left w:w="100" w:type="dxa"/>
              <w:right w:w="100" w:type="dxa"/>
            </w:tcMar>
          </w:tcPr>
          <w:p>
            <w:pPr>
              <w:spacing w:after="0"/>
            </w:pPr>
            <w:r>
              <w:rPr>
                <w:rFonts w:ascii="Calibri" w:hAnsi="Calibri"/>
                <w:b/>
                <w:i w:val="0"/>
                <w:color w:val="FFFFFF"/>
                <w:sz w:val="18"/>
              </w:rPr>
              <w:t>Gemeld NCSC</w:t>
            </w:r>
          </w:p>
        </w:tc>
        <w:tc>
          <w:tcPr>
            <w:tcW w:type="dxa" w:w="1417"/>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1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3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{{Incident / Bevinding}}</w:t>
            </w:r>
          </w:p>
        </w:tc>
        <w:tc>
          <w:tcPr>
            <w:tcW w:type="dxa" w:w="1417"/>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{{Kritiek/Hoog/Middel}}</w:t>
            </w:r>
          </w:p>
        </w:tc>
        <w:tc>
          <w:tcPr>
            <w:tcW w:type="dxa" w:w="1417"/>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{{OMSCHRIJVING}}</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{{Ja/Nee/N.v.t.}}</w:t>
            </w:r>
          </w:p>
        </w:tc>
        <w:tc>
          <w:tcPr>
            <w:tcW w:type="dxa" w:w="1417"/>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{{Opgelost/Open}}</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1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3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{{Incident / Bevinding}}</w:t>
            </w:r>
          </w:p>
        </w:tc>
        <w:tc>
          <w:tcPr>
            <w:tcW w:type="dxa" w:w="1417"/>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{{Kritiek/Hoog/Middel}}</w:t>
            </w:r>
          </w:p>
        </w:tc>
        <w:tc>
          <w:tcPr>
            <w:tcW w:type="dxa" w:w="1417"/>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{{OMSCHRIJVING}}</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{{Ja/Nee/N.v.t.}}</w:t>
            </w:r>
          </w:p>
        </w:tc>
        <w:tc>
          <w:tcPr>
            <w:tcW w:type="dxa" w:w="1417"/>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{{Opgelost/Open}}</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15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3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{{Incident / Bevinding}}</w:t>
            </w:r>
          </w:p>
        </w:tc>
        <w:tc>
          <w:tcPr>
            <w:tcW w:type="dxa" w:w="1417"/>
            <w:tcBorders>
              <w:top w:val="single" w:sz="4" w:space="0" w:color="E5E7EB"/>
              <w:bottom w:val="single" w:sz="4" w:space="0" w:color="E5E7EB"/>
              <w:left w:val="single" w:sz="4" w:space="0" w:color="E5E7EB"/>
              <w:right w:val="single" w:sz="4" w:space="0" w:color="E5E7EB"/>
            </w:tcBorders>
            <w:tcW w:w="12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{{Kritiek/Hoog/Middel}}</w:t>
            </w:r>
          </w:p>
        </w:tc>
        <w:tc>
          <w:tcPr>
            <w:tcW w:type="dxa" w:w="1417"/>
            <w:tcBorders>
              <w:top w:val="single" w:sz="4" w:space="0" w:color="E5E7EB"/>
              <w:bottom w:val="single" w:sz="4" w:space="0" w:color="E5E7EB"/>
              <w:left w:val="single" w:sz="4" w:space="0" w:color="E5E7EB"/>
              <w:right w:val="single" w:sz="4" w:space="0" w:color="E5E7EB"/>
            </w:tcBorders>
            <w:tcW w:w="18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{{OMSCHRIJVING}}</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{{Ja/Nee/N.v.t.}}</w:t>
            </w:r>
          </w:p>
        </w:tc>
        <w:tc>
          <w:tcPr>
            <w:tcW w:type="dxa" w:w="1417"/>
            <w:tcBorders>
              <w:top w:val="single" w:sz="4" w:space="0" w:color="E5E7EB"/>
              <w:bottom w:val="single" w:sz="4" w:space="0" w:color="E5E7EB"/>
              <w:left w:val="single" w:sz="4" w:space="0" w:color="E5E7EB"/>
              <w:right w:val="single" w:sz="4" w:space="0" w:color="E5E7EB"/>
            </w:tcBorders>
            <w:tcW w:w="14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{{Opgelost/Open}}</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15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3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{{Incident / Bevinding}}</w:t>
            </w:r>
          </w:p>
        </w:tc>
        <w:tc>
          <w:tcPr>
            <w:tcW w:type="dxa" w:w="1417"/>
            <w:tcBorders>
              <w:top w:val="single" w:sz="4" w:space="0" w:color="E5E7EB"/>
              <w:bottom w:val="single" w:sz="4" w:space="0" w:color="E5E7EB"/>
              <w:left w:val="single" w:sz="4" w:space="0" w:color="E5E7EB"/>
              <w:right w:val="single" w:sz="4" w:space="0" w:color="E5E7EB"/>
            </w:tcBorders>
            <w:tcW w:w="12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{{Kritiek/Hoog/Middel}}</w:t>
            </w:r>
          </w:p>
        </w:tc>
        <w:tc>
          <w:tcPr>
            <w:tcW w:type="dxa" w:w="1417"/>
            <w:tcBorders>
              <w:top w:val="single" w:sz="4" w:space="0" w:color="E5E7EB"/>
              <w:bottom w:val="single" w:sz="4" w:space="0" w:color="E5E7EB"/>
              <w:left w:val="single" w:sz="4" w:space="0" w:color="E5E7EB"/>
              <w:right w:val="single" w:sz="4" w:space="0" w:color="E5E7EB"/>
            </w:tcBorders>
            <w:tcW w:w="18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{{OMSCHRIJVING}}</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{{Ja/Nee/N.v.t.}}</w:t>
            </w:r>
          </w:p>
        </w:tc>
        <w:tc>
          <w:tcPr>
            <w:tcW w:type="dxa" w:w="1417"/>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{{Opgelost/Open}}</w:t>
            </w:r>
          </w:p>
        </w:tc>
      </w:tr>
    </w:tbl>
    <w:p>
      <w:pPr>
        <w:spacing w:before="280" w:after="120"/>
        <w:keepNext w:val="1"/>
        <w:pBdr>
          <w:left w:val="single" w:sz="18" w:space="4" w:color="1c1c2e"/>
        </w:pBdr>
        <w:shd w:val="clear" w:color="auto" w:fill="F5F5F5"/>
        <w:ind w:left="180"/>
      </w:pPr>
      <w:r>
        <w:rPr>
          <w:rFonts w:ascii="Calibri" w:hAnsi="Calibri"/>
          <w:b/>
          <w:color w:val="1C1C2E"/>
          <w:sz w:val="20"/>
        </w:rPr>
        <w:t>4 · Actieprogramma — Verbeterplan volgend jaar</w:t>
      </w:r>
      <w:r>
        <w:rPr>
          <w:rFonts w:ascii="Calibri" w:hAnsi="Calibri"/>
          <w:color w:val="1D4ED8"/>
          <w:sz w:val="16"/>
        </w:rPr>
        <w:t xml:space="preserve">    NIS2 Art. 21(2)(f)  ·  ISO 27001 Cl. 10.1, 10.2</w:t>
      </w:r>
    </w:p>
    <w:p>
      <w:pPr>
        <w:spacing w:before="0" w:after="120"/>
      </w:pPr>
      <w:r>
        <w:rPr>
          <w:rFonts w:ascii="Calibri" w:hAnsi="Calibri"/>
          <w:b w:val="0"/>
          <w:i/>
          <w:color w:val="6B7280"/>
          <w:sz w:val="20"/>
        </w:rPr>
        <w:t>Vertaal de bevindingen uit §3 naar een concreet actieprogramma. Prioriteer op risico-impact en NIS2-deadline. Indicatief compliance-investeringsbudget voor MKB: €4.000–€13.500 per jaar voor technische maatregelen (excl. toolingkosten en externe ondersteuning). Dit actieprogramma wordt kwartaalgewijs gemonitord en is input voor de volgende jaarlijkse review.</w:t>
      </w:r>
    </w:p>
    <w:tbl>
      <w:tblPr>
        <w:tblW w:type="auto" w:w="0"/>
        <w:tblLook w:firstColumn="1" w:firstRow="1" w:lastColumn="0" w:lastRow="0" w:noHBand="0" w:noVBand="1" w:val="04A0"/>
        <w:tblW w:w="8504" w:type="dxa"/>
        <w:jc w:val="left"/>
      </w:tblPr>
      <w:tblGrid>
        <w:gridCol w:w="700"/>
        <w:gridCol w:w="2304"/>
        <w:gridCol w:w="900"/>
        <w:gridCol w:w="1300"/>
        <w:gridCol w:w="1600"/>
        <w:gridCol w:w="1700"/>
      </w:tblGrid>
      <w:tblGrid>
        <w:gridCol w:w="1417"/>
        <w:gridCol w:w="1417"/>
        <w:gridCol w:w="1417"/>
        <w:gridCol w:w="1417"/>
        <w:gridCol w:w="1417"/>
        <w:gridCol w:w="1417"/>
      </w:tblGrid>
      <w:tr>
        <w:trPr>
          <w:cantSplit w:val="1"/>
          <w:tblHeader/>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1C1C2E"/>
            <w:tcMar>
              <w:top w:w="70" w:type="dxa"/>
              <w:bottom w:w="70" w:type="dxa"/>
              <w:left w:w="100" w:type="dxa"/>
              <w:right w:w="100" w:type="dxa"/>
            </w:tcMar>
          </w:tcPr>
          <w:p>
            <w:pPr>
              <w:spacing w:after="0"/>
            </w:pPr>
            <w:r>
              <w:rPr>
                <w:rFonts w:ascii="Calibri" w:hAnsi="Calibri"/>
                <w:b/>
                <w:i w:val="0"/>
                <w:color w:val="FFFFFF"/>
                <w:sz w:val="18"/>
              </w:rPr>
              <w:t>Nr</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1C1C2E"/>
            <w:tcMar>
              <w:top w:w="70" w:type="dxa"/>
              <w:bottom w:w="70" w:type="dxa"/>
              <w:left w:w="100" w:type="dxa"/>
              <w:right w:w="100" w:type="dxa"/>
            </w:tcMar>
          </w:tcPr>
          <w:p>
            <w:pPr>
              <w:spacing w:after="0"/>
            </w:pPr>
            <w:r>
              <w:rPr>
                <w:rFonts w:ascii="Calibri" w:hAnsi="Calibri"/>
                <w:b/>
                <w:i w:val="0"/>
                <w:color w:val="FFFFFF"/>
                <w:sz w:val="18"/>
              </w:rPr>
              <w:t>Actie / verbetermaatregel</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1C1C2E"/>
            <w:tcMar>
              <w:top w:w="70" w:type="dxa"/>
              <w:bottom w:w="70" w:type="dxa"/>
              <w:left w:w="100" w:type="dxa"/>
              <w:right w:w="100" w:type="dxa"/>
            </w:tcMar>
          </w:tcPr>
          <w:p>
            <w:pPr>
              <w:spacing w:after="0"/>
            </w:pPr>
            <w:r>
              <w:rPr>
                <w:rFonts w:ascii="Calibri" w:hAnsi="Calibri"/>
                <w:b/>
                <w:i w:val="0"/>
                <w:color w:val="FFFFFF"/>
                <w:sz w:val="18"/>
              </w:rPr>
              <w:t>Module</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1C1C2E"/>
            <w:tcMar>
              <w:top w:w="70" w:type="dxa"/>
              <w:bottom w:w="70" w:type="dxa"/>
              <w:left w:w="100" w:type="dxa"/>
              <w:right w:w="100" w:type="dxa"/>
            </w:tcMar>
          </w:tcPr>
          <w:p>
            <w:pPr>
              <w:spacing w:after="0"/>
            </w:pPr>
            <w:r>
              <w:rPr>
                <w:rFonts w:ascii="Calibri" w:hAnsi="Calibri"/>
                <w:b/>
                <w:i w:val="0"/>
                <w:color w:val="FFFFFF"/>
                <w:sz w:val="18"/>
              </w:rPr>
              <w:t>Prioriteit</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1C1C2E"/>
            <w:tcMar>
              <w:top w:w="70" w:type="dxa"/>
              <w:bottom w:w="70" w:type="dxa"/>
              <w:left w:w="100" w:type="dxa"/>
              <w:right w:w="100" w:type="dxa"/>
            </w:tcMar>
          </w:tcPr>
          <w:p>
            <w:pPr>
              <w:spacing w:after="0"/>
            </w:pPr>
            <w:r>
              <w:rPr>
                <w:rFonts w:ascii="Calibri" w:hAnsi="Calibri"/>
                <w:b/>
                <w:i w:val="0"/>
                <w:color w:val="FFFFFF"/>
                <w:sz w:val="18"/>
              </w:rPr>
              <w:t>Deadline</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1C1C2E"/>
            <w:tcMar>
              <w:top w:w="70" w:type="dxa"/>
              <w:bottom w:w="70" w:type="dxa"/>
              <w:left w:w="100" w:type="dxa"/>
              <w:right w:w="100" w:type="dxa"/>
            </w:tcMar>
          </w:tcPr>
          <w:p>
            <w:pPr>
              <w:spacing w:after="0"/>
            </w:pPr>
            <w:r>
              <w:rPr>
                <w:rFonts w:ascii="Calibri" w:hAnsi="Calibri"/>
                <w:b/>
                <w:i w:val="0"/>
                <w:color w:val="FFFFFF"/>
                <w:sz w:val="18"/>
              </w:rPr>
              <w:t>Verantwoordelijke</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1</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2</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3</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4</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5</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FFFFF"/>
            <w:tcMar>
              <w:top w:w="70" w:type="dxa"/>
              <w:bottom w:w="70" w:type="dxa"/>
              <w:left w:w="100" w:type="dxa"/>
              <w:right w:w="100" w:type="dxa"/>
            </w:tcMar>
          </w:tcPr>
          <w:p>
            <w:pPr>
              <w:spacing w:after="0"/>
            </w:pPr>
            <w:r>
              <w:rPr>
                <w:rFonts w:ascii="Calibri" w:hAnsi="Calibri"/>
                <w:b/>
                <w:color w:val="713F12"/>
                <w:sz w:val="22"/>
                <w:highlight w:val="yellow"/>
              </w:rPr>
              <w:t>{{NAAM}}</w:t>
            </w:r>
          </w:p>
        </w:tc>
      </w:tr>
      <w:tr>
        <w:trPr>
          <w:cantSplit w:val="1"/>
        </w:trPr>
        <w:tc>
          <w:tcPr>
            <w:tcW w:type="dxa" w:w="1417"/>
            <w:tcBorders>
              <w:top w:val="single" w:sz="4" w:space="0" w:color="E5E7EB"/>
              <w:bottom w:val="single" w:sz="4" w:space="0" w:color="E5E7EB"/>
              <w:left w:val="single" w:sz="4" w:space="0" w:color="E5E7EB"/>
              <w:right w:val="single" w:sz="4" w:space="0" w:color="E5E7EB"/>
            </w:tcBorders>
            <w:tcW w:w="700" w:type="dxa"/>
            <w:shd w:val="clear" w:color="auto" w:fill="EFF6FF"/>
            <w:tcMar>
              <w:top w:w="70" w:type="dxa"/>
              <w:bottom w:w="70" w:type="dxa"/>
              <w:left w:w="100" w:type="dxa"/>
              <w:right w:w="100" w:type="dxa"/>
            </w:tcMar>
          </w:tcPr>
          <w:p>
            <w:pPr>
              <w:spacing w:after="0"/>
              <w:jc w:val="center"/>
            </w:pPr>
            <w:r>
              <w:rPr>
                <w:rFonts w:ascii="Calibri" w:hAnsi="Calibri"/>
                <w:b/>
                <w:i w:val="0"/>
                <w:color w:val="1D4ED8"/>
                <w:sz w:val="22"/>
              </w:rPr>
              <w:t>6</w:t>
            </w:r>
          </w:p>
        </w:tc>
        <w:tc>
          <w:tcPr>
            <w:tcW w:type="dxa" w:w="1417"/>
            <w:tcBorders>
              <w:top w:val="single" w:sz="4" w:space="0" w:color="E5E7EB"/>
              <w:bottom w:val="single" w:sz="4" w:space="0" w:color="E5E7EB"/>
              <w:left w:val="single" w:sz="4" w:space="0" w:color="E5E7EB"/>
              <w:right w:val="single" w:sz="4" w:space="0" w:color="E5E7EB"/>
            </w:tcBorders>
            <w:tcW w:w="2304"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{{ACTIE}}</w:t>
            </w:r>
          </w:p>
        </w:tc>
        <w:tc>
          <w:tcPr>
            <w:tcW w:type="dxa" w:w="1417"/>
            <w:tcBorders>
              <w:top w:val="single" w:sz="4" w:space="0" w:color="E5E7EB"/>
              <w:bottom w:val="single" w:sz="4" w:space="0" w:color="E5E7EB"/>
              <w:left w:val="single" w:sz="4" w:space="0" w:color="E5E7EB"/>
              <w:right w:val="single" w:sz="4" w:space="0" w:color="E5E7EB"/>
            </w:tcBorders>
            <w:tcW w:w="9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{{M#}}</w:t>
            </w:r>
          </w:p>
        </w:tc>
        <w:tc>
          <w:tcPr>
            <w:tcW w:type="dxa" w:w="1417"/>
            <w:tcBorders>
              <w:top w:val="single" w:sz="4" w:space="0" w:color="E5E7EB"/>
              <w:bottom w:val="single" w:sz="4" w:space="0" w:color="E5E7EB"/>
              <w:left w:val="single" w:sz="4" w:space="0" w:color="E5E7EB"/>
              <w:right w:val="single" w:sz="4" w:space="0" w:color="E5E7EB"/>
            </w:tcBorders>
            <w:tcW w:w="13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{{Hoog/Middel/Laag}}</w:t>
            </w:r>
          </w:p>
        </w:tc>
        <w:tc>
          <w:tcPr>
            <w:tcW w:type="dxa" w:w="1417"/>
            <w:tcBorders>
              <w:top w:val="single" w:sz="4" w:space="0" w:color="E5E7EB"/>
              <w:bottom w:val="single" w:sz="4" w:space="0" w:color="E5E7EB"/>
              <w:left w:val="single" w:sz="4" w:space="0" w:color="E5E7EB"/>
              <w:right w:val="single" w:sz="4" w:space="0" w:color="E5E7EB"/>
            </w:tcBorders>
            <w:tcW w:w="16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{{DATUM}}</w:t>
            </w:r>
          </w:p>
        </w:tc>
        <w:tc>
          <w:tcPr>
            <w:tcW w:type="dxa" w:w="1417"/>
            <w:tcBorders>
              <w:top w:val="single" w:sz="4" w:space="0" w:color="E5E7EB"/>
              <w:bottom w:val="single" w:sz="4" w:space="0" w:color="E5E7EB"/>
              <w:left w:val="single" w:sz="4" w:space="0" w:color="E5E7EB"/>
              <w:right w:val="single" w:sz="4" w:space="0" w:color="E5E7EB"/>
            </w:tcBorders>
            <w:tcW w:w="1700" w:type="dxa"/>
            <w:shd w:val="clear" w:color="auto" w:fill="F9FAFB"/>
            <w:tcMar>
              <w:top w:w="70" w:type="dxa"/>
              <w:bottom w:w="70" w:type="dxa"/>
              <w:left w:w="100" w:type="dxa"/>
              <w:right w:w="100" w:type="dxa"/>
            </w:tcMar>
          </w:tcPr>
          <w:p>
            <w:pPr>
              <w:spacing w:after="0"/>
            </w:pPr>
            <w:r>
              <w:rPr>
                <w:rFonts w:ascii="Calibri" w:hAnsi="Calibri"/>
                <w:b/>
                <w:color w:val="713F12"/>
                <w:sz w:val="22"/>
                <w:highlight w:val="yellow"/>
              </w:rPr>
              <w:t>{{NAAM}}</w:t>
            </w:r>
          </w:p>
        </w:tc>
      </w:tr>
    </w:tbl>
    <w:p>
      <w:pPr>
        <w:spacing w:before="280" w:after="120"/>
        <w:keepNext w:val="1"/>
        <w:pBdr>
          <w:left w:val="single" w:sz="18" w:space="4" w:color="1c1c2e"/>
        </w:pBdr>
        <w:shd w:val="clear" w:color="auto" w:fill="F5F5F5"/>
        <w:ind w:left="180"/>
      </w:pPr>
      <w:r>
        <w:rPr>
          <w:rFonts w:ascii="Calibri" w:hAnsi="Calibri"/>
          <w:b/>
          <w:color w:val="1C1C2E"/>
          <w:sz w:val="20"/>
        </w:rPr>
        <w:t>5 · Bewaking &amp; Herziening</w:t>
      </w:r>
      <w:r>
        <w:rPr>
          <w:rFonts w:ascii="Calibri" w:hAnsi="Calibri"/>
          <w:color w:val="1D4ED8"/>
          <w:sz w:val="16"/>
        </w:rPr>
        <w:t xml:space="preserve">    NIS2 Art. 21(2)(f)  ·  ISO 27001 Cl. 9.1, 9.3</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Reviewcyclus</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Jaarlijks in Q4 — vóór het einde van het auditjaar. Tussentijdse review bij significante wijziging van scope, organisatie of dreigingslandschap. Kwartaalsgewijze monitoring van het actieprogramma §4.</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Documentatie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val="0"/>
                <w:i w:val="0"/>
                <w:color w:val="374151"/>
                <w:sz w:val="20"/>
              </w:rPr>
              <w:t>Dit document + alle Modules 1–7 + XLSX-registers bewaren als compliance-dossier. Minimale bewaartermijn: 3 jaar (langere termijn bij sectorspecifieke eisen). Beschikbaar voor inzage door bevoegde toezichthouder (NCSC / RDI / andere autoriteit).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Volgende review</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{{DATUM}}  (maximaal 12 maanden na huidig document)</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Verantwoordelijke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{{NAAM DIRECTEUR / CEO}}</w:t>
            </w:r>
          </w:p>
        </w:tc>
      </w:tr>
    </w:tbl>
    <w:p>
      <w:pPr>
        <w:spacing w:before="280" w:after="120"/>
        <w:keepNext w:val="1"/>
        <w:pBdr>
          <w:left w:val="single" w:sz="18" w:space="4" w:color="1c1c2e"/>
        </w:pBdr>
        <w:shd w:val="clear" w:color="auto" w:fill="F5F5F5"/>
        <w:ind w:left="180"/>
      </w:pPr>
      <w:r>
        <w:rPr>
          <w:rFonts w:ascii="Calibri" w:hAnsi="Calibri"/>
          <w:b/>
          <w:color w:val="1C1C2E"/>
          <w:sz w:val="20"/>
        </w:rPr>
        <w:t>6 · Regelgevingsverwijzing</w:t>
      </w:r>
      <w:r>
        <w:rPr>
          <w:rFonts w:ascii="Calibri" w:hAnsi="Calibri"/>
          <w:color w:val="1D4ED8"/>
          <w:sz w:val="16"/>
        </w:rPr>
        <w:t xml:space="preserve">    NIS2 Art. 21(2)(f)  ·  ISO 27001 Cl. 9.1, 9.3, 10.2</w:t>
      </w:r>
    </w:p>
    <w:tbl>
      <w:tblPr>
        <w:tblW w:type="auto" w:w="0"/>
        <w:tblLook w:firstColumn="1" w:firstRow="1" w:lastColumn="0" w:lastRow="0" w:noHBand="0" w:noVBand="1" w:val="04A0"/>
        <w:tblW w:w="8504" w:type="dxa"/>
        <w:jc w:val="left"/>
      </w:tblPr>
      <w:tblGrid>
        <w:gridCol w:w="2200"/>
        <w:gridCol w:w="3204"/>
        <w:gridCol w:w="3100"/>
      </w:tblGrid>
      <w:tblGrid>
        <w:gridCol w:w="2835"/>
        <w:gridCol w:w="2835"/>
        <w:gridCol w:w="2835"/>
      </w:tblGrid>
      <w:tr>
        <w:trPr>
          <w:cantSplit w:val="1"/>
          <w:tblHeader/>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1C1C2E"/>
            <w:tcMar>
              <w:top w:w="70" w:type="dxa"/>
              <w:bottom w:w="70" w:type="dxa"/>
              <w:left w:w="100" w:type="dxa"/>
              <w:right w:w="100" w:type="dxa"/>
            </w:tcMar>
          </w:tcPr>
          <w:p>
            <w:pPr>
              <w:spacing w:after="0"/>
            </w:pPr>
            <w:r>
              <w:rPr>
                <w:rFonts w:ascii="Calibri" w:hAnsi="Calibri"/>
                <w:b/>
                <w:i w:val="0"/>
                <w:color w:val="FFFFFF"/>
                <w:sz w:val="18"/>
              </w:rPr>
              <w:t>Kader</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1C1C2E"/>
            <w:tcMar>
              <w:top w:w="70" w:type="dxa"/>
              <w:bottom w:w="70" w:type="dxa"/>
              <w:left w:w="100" w:type="dxa"/>
              <w:right w:w="100" w:type="dxa"/>
            </w:tcMar>
          </w:tcPr>
          <w:p>
            <w:pPr>
              <w:spacing w:after="0"/>
            </w:pPr>
            <w:r>
              <w:rPr>
                <w:rFonts w:ascii="Calibri" w:hAnsi="Calibri"/>
                <w:b/>
                <w:i w:val="0"/>
                <w:color w:val="FFFFFF"/>
                <w:sz w:val="18"/>
              </w:rPr>
              <w:t>Artikel / Clausule</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1C1C2E"/>
            <w:tcMar>
              <w:top w:w="70" w:type="dxa"/>
              <w:bottom w:w="70" w:type="dxa"/>
              <w:left w:w="100" w:type="dxa"/>
              <w:right w:w="100" w:type="dxa"/>
            </w:tcMar>
          </w:tcPr>
          <w:p>
            <w:pPr>
              <w:spacing w:after="0"/>
            </w:pPr>
            <w:r>
              <w:rPr>
                <w:rFonts w:ascii="Calibri" w:hAnsi="Calibri"/>
                <w:b/>
                <w:i w:val="0"/>
                <w:color w:val="FFFFFF"/>
                <w:sz w:val="18"/>
              </w:rPr>
              <w:t>Relevantie voor dit module</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NIS2 / Cyberbeveiligingswet</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Art. 21(2)(f)</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Effectiviteitsbeoordeling maatregelen — jaarlijkse review is de primaire bewijslast</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ISO/IEC 27001:2022</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9FAFB"/>
            <w:tcMar>
              <w:top w:w="70" w:type="dxa"/>
              <w:bottom w:w="70" w:type="dxa"/>
              <w:left w:w="100" w:type="dxa"/>
              <w:right w:w="100" w:type="dxa"/>
            </w:tcMar>
          </w:tcPr>
          <w:p>
            <w:pPr>
              <w:spacing w:after="0"/>
            </w:pPr>
            <w:r>
              <w:rPr>
                <w:rFonts w:ascii="Calibri" w:hAnsi="Calibri"/>
                <w:b/>
                <w:i w:val="0"/>
                <w:color w:val="1D4ED8"/>
                <w:sz w:val="20"/>
              </w:rPr>
              <w:t>Clausule 9.1 + 9.3 + 10.2</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9FAFB"/>
            <w:tcMar>
              <w:top w:w="70" w:type="dxa"/>
              <w:bottom w:w="70" w:type="dxa"/>
              <w:left w:w="100" w:type="dxa"/>
              <w:right w:w="100" w:type="dxa"/>
            </w:tcMar>
          </w:tcPr>
          <w:p>
            <w:pPr>
              <w:spacing w:after="0"/>
            </w:pPr>
            <w:r>
              <w:rPr>
                <w:rFonts w:ascii="Calibri" w:hAnsi="Calibri"/>
                <w:b w:val="0"/>
                <w:i w:val="0"/>
                <w:color w:val="374151"/>
                <w:sz w:val="20"/>
              </w:rPr>
              <w:t>Performance-evaluatie, directiebeoordeling en continue verbetering — directe mapping op dit module</w:t>
            </w:r>
          </w:p>
        </w:tc>
      </w:tr>
      <w:tr>
        <w:trPr>
          <w:cantSplit w:val="1"/>
        </w:trPr>
        <w:tc>
          <w:tcPr>
            <w:tcW w:type="dxa" w:w="2835"/>
            <w:tcBorders>
              <w:top w:val="single" w:sz="4" w:space="0" w:color="E5E7EB"/>
              <w:bottom w:val="single" w:sz="4" w:space="0" w:color="E5E7EB"/>
              <w:left w:val="single" w:sz="4" w:space="0" w:color="E5E7EB"/>
              <w:right w:val="single" w:sz="4" w:space="0" w:color="E5E7EB"/>
            </w:tcBorders>
            <w:tcW w:w="22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AVG / GDPR</w:t>
            </w:r>
          </w:p>
        </w:tc>
        <w:tc>
          <w:tcPr>
            <w:tcW w:type="dxa" w:w="2835"/>
            <w:tcBorders>
              <w:top w:val="single" w:sz="4" w:space="0" w:color="E5E7EB"/>
              <w:bottom w:val="single" w:sz="4" w:space="0" w:color="E5E7EB"/>
              <w:left w:val="single" w:sz="4" w:space="0" w:color="E5E7EB"/>
              <w:right w:val="single" w:sz="4" w:space="0" w:color="E5E7EB"/>
            </w:tcBorders>
            <w:tcW w:w="3204" w:type="dxa"/>
            <w:shd w:val="clear" w:color="auto" w:fill="FFFFFF"/>
            <w:tcMar>
              <w:top w:w="70" w:type="dxa"/>
              <w:bottom w:w="70" w:type="dxa"/>
              <w:left w:w="100" w:type="dxa"/>
              <w:right w:w="100" w:type="dxa"/>
            </w:tcMar>
          </w:tcPr>
          <w:p>
            <w:pPr>
              <w:spacing w:after="0"/>
            </w:pPr>
            <w:r>
              <w:rPr>
                <w:rFonts w:ascii="Calibri" w:hAnsi="Calibri"/>
                <w:b/>
                <w:i w:val="0"/>
                <w:color w:val="1D4ED8"/>
                <w:sz w:val="20"/>
              </w:rPr>
              <w:t>Art. 24 + Overweging 83</w:t>
            </w:r>
          </w:p>
        </w:tc>
        <w:tc>
          <w:tcPr>
            <w:tcW w:type="dxa" w:w="2835"/>
            <w:tcBorders>
              <w:top w:val="single" w:sz="4" w:space="0" w:color="E5E7EB"/>
              <w:bottom w:val="single" w:sz="4" w:space="0" w:color="E5E7EB"/>
              <w:left w:val="single" w:sz="4" w:space="0" w:color="E5E7EB"/>
              <w:right w:val="single" w:sz="4" w:space="0" w:color="E5E7EB"/>
            </w:tcBorders>
            <w:tcW w:w="3100" w:type="dxa"/>
            <w:shd w:val="clear" w:color="auto" w:fill="FFFFFF"/>
            <w:tcMar>
              <w:top w:w="70" w:type="dxa"/>
              <w:bottom w:w="70" w:type="dxa"/>
              <w:left w:w="100" w:type="dxa"/>
              <w:right w:w="100" w:type="dxa"/>
            </w:tcMar>
          </w:tcPr>
          <w:p>
            <w:pPr>
              <w:spacing w:after="0"/>
            </w:pPr>
            <w:r>
              <w:rPr>
                <w:rFonts w:ascii="Calibri" w:hAnsi="Calibri"/>
                <w:b w:val="0"/>
                <w:i w:val="0"/>
                <w:color w:val="374151"/>
                <w:sz w:val="20"/>
              </w:rPr>
              <w:t>Verwerkingsverantwoordelijke toont aantoonbaar naleving — dit module levert dat bewijs</w:t>
            </w:r>
          </w:p>
        </w:tc>
      </w:tr>
    </w:tbl>
    <w:p>
      <w:pPr>
        <w:spacing w:before="280" w:after="120"/>
        <w:keepNext w:val="1"/>
        <w:pBdr>
          <w:left w:val="single" w:sz="18" w:space="4" w:color="1c1c2e"/>
        </w:pBdr>
        <w:shd w:val="clear" w:color="auto" w:fill="F5F5F5"/>
        <w:ind w:left="180"/>
      </w:pPr>
      <w:r>
        <w:rPr>
          <w:rFonts w:ascii="Calibri" w:hAnsi="Calibri"/>
          <w:b/>
          <w:color w:val="1C1C2E"/>
          <w:sz w:val="20"/>
        </w:rPr>
        <w:t>7 · Ingevuld voorbeeld — Logistiek bedrijf Bakker Transport B.V.</w:t>
      </w:r>
    </w:p>
    <w:p>
      <w:pPr>
        <w:spacing w:before="0" w:after="120"/>
      </w:pPr>
      <w:r>
        <w:rPr>
          <w:rFonts w:ascii="Calibri" w:hAnsi="Calibri"/>
          <w:b w:val="0"/>
          <w:i/>
          <w:color w:val="6B7280"/>
          <w:sz w:val="20"/>
        </w:rPr>
        <w:t>Fictief logistiek bedrijf, 110 medewerkers, NIS2-plichtig als transportoperator. Jaarlijkse review Q4 2025. Compliance-status na eerste jaar NIS2-toolkit gebruik.</w:t>
      </w:r>
    </w:p>
    <w:tbl>
      <w:tblPr>
        <w:tblW w:type="auto" w:w="0"/>
        <w:tblLook w:firstColumn="1" w:firstRow="1" w:lastColumn="0" w:lastRow="0" w:noHBand="0" w:noVBand="1" w:val="04A0"/>
        <w:tblW w:w="8504" w:type="dxa"/>
        <w:jc w:val="left"/>
      </w:tblPr>
      <w:tblGrid>
        <w:gridCol w:w="2504"/>
        <w:gridCol w:w="2200"/>
        <w:gridCol w:w="1400"/>
        <w:gridCol w:w="2400"/>
      </w:tblGrid>
      <w:tblGrid>
        <w:gridCol w:w="2126"/>
        <w:gridCol w:w="2126"/>
        <w:gridCol w:w="2126"/>
        <w:gridCol w:w="2126"/>
      </w:tblGrid>
      <w:tr>
        <w:trPr>
          <w:cantSplit w:val="1"/>
          <w:tblHeader/>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1C1C2E"/>
            <w:tcMar>
              <w:top w:w="70" w:type="dxa"/>
              <w:bottom w:w="70" w:type="dxa"/>
              <w:left w:w="100" w:type="dxa"/>
              <w:right w:w="100" w:type="dxa"/>
            </w:tcMar>
          </w:tcPr>
          <w:p>
            <w:pPr>
              <w:spacing w:after="0"/>
            </w:pPr>
            <w:r>
              <w:rPr>
                <w:rFonts w:ascii="Calibri" w:hAnsi="Calibri"/>
                <w:b/>
                <w:i w:val="0"/>
                <w:color w:val="FFFFFF"/>
                <w:sz w:val="18"/>
              </w:rPr>
              <w:t>Module</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1C1C2E"/>
            <w:tcMar>
              <w:top w:w="70" w:type="dxa"/>
              <w:bottom w:w="70" w:type="dxa"/>
              <w:left w:w="100" w:type="dxa"/>
              <w:right w:w="100" w:type="dxa"/>
            </w:tcMar>
          </w:tcPr>
          <w:p>
            <w:pPr>
              <w:spacing w:after="0"/>
            </w:pPr>
            <w:r>
              <w:rPr>
                <w:rFonts w:ascii="Calibri" w:hAnsi="Calibri"/>
                <w:b/>
                <w:i w:val="0"/>
                <w:color w:val="FFFFFF"/>
                <w:sz w:val="18"/>
              </w:rPr>
              <w:t>Status</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1C1C2E"/>
            <w:tcMar>
              <w:top w:w="70" w:type="dxa"/>
              <w:bottom w:w="70" w:type="dxa"/>
              <w:left w:w="100" w:type="dxa"/>
              <w:right w:w="100" w:type="dxa"/>
            </w:tcMar>
          </w:tcPr>
          <w:p>
            <w:pPr>
              <w:spacing w:after="0"/>
            </w:pPr>
            <w:r>
              <w:rPr>
                <w:rFonts w:ascii="Calibri" w:hAnsi="Calibri"/>
                <w:b/>
                <w:i w:val="0"/>
                <w:color w:val="FFFFFF"/>
                <w:sz w:val="18"/>
              </w:rPr>
              <w:t>Trend</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1C1C2E"/>
            <w:tcMar>
              <w:top w:w="70" w:type="dxa"/>
              <w:bottom w:w="70" w:type="dxa"/>
              <w:left w:w="100" w:type="dxa"/>
              <w:right w:w="100" w:type="dxa"/>
            </w:tcMar>
          </w:tcPr>
          <w:p>
            <w:pPr>
              <w:spacing w:after="0"/>
            </w:pPr>
            <w:r>
              <w:rPr>
                <w:rFonts w:ascii="Calibri" w:hAnsi="Calibri"/>
                <w:b/>
                <w:i w:val="0"/>
                <w:color w:val="FFFFFF"/>
                <w:sz w:val="18"/>
              </w:rPr>
              <w:t>Aandachtspunt</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M1 Zelfevaluatie</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DCFCE7"/>
            <w:tcMar>
              <w:top w:w="70" w:type="dxa"/>
              <w:bottom w:w="70" w:type="dxa"/>
              <w:left w:w="100" w:type="dxa"/>
              <w:right w:w="100" w:type="dxa"/>
            </w:tcMar>
          </w:tcPr>
          <w:p>
            <w:pPr>
              <w:spacing w:after="0"/>
              <w:jc w:val="center"/>
            </w:pPr>
            <w:r>
              <w:rPr>
                <w:rFonts w:ascii="Calibri" w:hAnsi="Calibri"/>
                <w:b/>
                <w:i w:val="0"/>
                <w:color w:val="15803D"/>
                <w:sz w:val="20"/>
              </w:rPr>
              <w:t>Groen</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6B7280"/>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Scope bevestigd — 2 systemen toegevoegd</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M2 Risicoanalyse</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DCFCE7"/>
            <w:tcMar>
              <w:top w:w="70" w:type="dxa"/>
              <w:bottom w:w="70" w:type="dxa"/>
              <w:left w:w="100" w:type="dxa"/>
              <w:right w:w="100" w:type="dxa"/>
            </w:tcMar>
          </w:tcPr>
          <w:p>
            <w:pPr>
              <w:spacing w:after="0"/>
              <w:jc w:val="center"/>
            </w:pPr>
            <w:r>
              <w:rPr>
                <w:rFonts w:ascii="Calibri" w:hAnsi="Calibri"/>
                <w:b/>
                <w:i w:val="0"/>
                <w:color w:val="15803D"/>
                <w:sz w:val="20"/>
              </w:rPr>
              <w:t>Groen</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15803D"/>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Top-5 risico's afgenomen van score 18→11</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M3 Beveiligingsmaatregelen</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FFBEB"/>
            <w:tcMar>
              <w:top w:w="70" w:type="dxa"/>
              <w:bottom w:w="70" w:type="dxa"/>
              <w:left w:w="100" w:type="dxa"/>
              <w:right w:w="100" w:type="dxa"/>
            </w:tcMar>
          </w:tcPr>
          <w:p>
            <w:pPr>
              <w:spacing w:after="0"/>
              <w:jc w:val="center"/>
            </w:pPr>
            <w:r>
              <w:rPr>
                <w:rFonts w:ascii="Calibri" w:hAnsi="Calibri"/>
                <w:b/>
                <w:i w:val="0"/>
                <w:color w:val="92400E"/>
                <w:sz w:val="20"/>
              </w:rPr>
              <w:t>Amber</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15803D"/>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MFA 87% — 3 legacy-systemen nog open</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M4 Leveranciers</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DCFCE7"/>
            <w:tcMar>
              <w:top w:w="70" w:type="dxa"/>
              <w:bottom w:w="70" w:type="dxa"/>
              <w:left w:w="100" w:type="dxa"/>
              <w:right w:w="100" w:type="dxa"/>
            </w:tcMar>
          </w:tcPr>
          <w:p>
            <w:pPr>
              <w:spacing w:after="0"/>
              <w:jc w:val="center"/>
            </w:pPr>
            <w:r>
              <w:rPr>
                <w:rFonts w:ascii="Calibri" w:hAnsi="Calibri"/>
                <w:b/>
                <w:i w:val="0"/>
                <w:color w:val="15803D"/>
                <w:sz w:val="20"/>
              </w:rPr>
              <w:t>Groen</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6B7280"/>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Alle 5 kritieke leveranciers beoordeeld</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M5 Bedrijfscontinuïteit</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DCFCE7"/>
            <w:tcMar>
              <w:top w:w="70" w:type="dxa"/>
              <w:bottom w:w="70" w:type="dxa"/>
              <w:left w:w="100" w:type="dxa"/>
              <w:right w:w="100" w:type="dxa"/>
            </w:tcMar>
          </w:tcPr>
          <w:p>
            <w:pPr>
              <w:spacing w:after="0"/>
              <w:jc w:val="center"/>
            </w:pPr>
            <w:r>
              <w:rPr>
                <w:rFonts w:ascii="Calibri" w:hAnsi="Calibri"/>
                <w:b/>
                <w:i w:val="0"/>
                <w:color w:val="15803D"/>
                <w:sz w:val="20"/>
              </w:rPr>
              <w:t>Groen</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15803D"/>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DRP-oefening geslaagd — RTO 6u gehaald</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M6 Medewerkers</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FFBEB"/>
            <w:tcMar>
              <w:top w:w="70" w:type="dxa"/>
              <w:bottom w:w="70" w:type="dxa"/>
              <w:left w:w="100" w:type="dxa"/>
              <w:right w:w="100" w:type="dxa"/>
            </w:tcMar>
          </w:tcPr>
          <w:p>
            <w:pPr>
              <w:spacing w:after="0"/>
              <w:jc w:val="center"/>
            </w:pPr>
            <w:r>
              <w:rPr>
                <w:rFonts w:ascii="Calibri" w:hAnsi="Calibri"/>
                <w:b/>
                <w:i w:val="0"/>
                <w:color w:val="92400E"/>
                <w:sz w:val="20"/>
              </w:rPr>
              <w:t>Amber</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15803D"/>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9FAFB"/>
            <w:tcMar>
              <w:top w:w="70" w:type="dxa"/>
              <w:bottom w:w="70" w:type="dxa"/>
              <w:left w:w="100" w:type="dxa"/>
              <w:right w:w="100" w:type="dxa"/>
            </w:tcMar>
          </w:tcPr>
          <w:p>
            <w:pPr>
              <w:spacing w:after="0"/>
            </w:pPr>
            <w:r>
              <w:rPr>
                <w:rFonts w:ascii="Calibri" w:hAnsi="Calibri"/>
                <w:b w:val="0"/>
                <w:i w:val="0"/>
                <w:color w:val="374151"/>
                <w:sz w:val="18"/>
              </w:rPr>
              <w:t>Training 94% — 7 mw nog niet voltooid</w:t>
            </w:r>
          </w:p>
        </w:tc>
      </w:tr>
      <w:tr>
        <w:trPr>
          <w:cantSplit w:val="1"/>
        </w:trPr>
        <w:tc>
          <w:tcPr>
            <w:tcW w:type="dxa" w:w="2126"/>
            <w:tcBorders>
              <w:top w:val="single" w:sz="4" w:space="0" w:color="E5E7EB"/>
              <w:bottom w:val="single" w:sz="4" w:space="0" w:color="E5E7EB"/>
              <w:left w:val="single" w:sz="4" w:space="0" w:color="E5E7EB"/>
              <w:right w:val="single" w:sz="4" w:space="0" w:color="E5E7EB"/>
            </w:tcBorders>
            <w:tcW w:w="2504" w:type="dxa"/>
            <w:shd w:val="clear" w:color="auto" w:fill="EFF6FF"/>
            <w:tcMar>
              <w:top w:w="70" w:type="dxa"/>
              <w:bottom w:w="70" w:type="dxa"/>
              <w:left w:w="100" w:type="dxa"/>
              <w:right w:w="100" w:type="dxa"/>
            </w:tcMar>
          </w:tcPr>
          <w:p>
            <w:pPr>
              <w:spacing w:after="0"/>
            </w:pPr>
            <w:r>
              <w:rPr>
                <w:rFonts w:ascii="Calibri" w:hAnsi="Calibri"/>
                <w:b/>
                <w:i w:val="0"/>
                <w:color w:val="1D4ED8"/>
                <w:sz w:val="20"/>
              </w:rPr>
              <w:t>M7 Documentatie &amp; Logging</w:t>
            </w:r>
          </w:p>
        </w:tc>
        <w:tc>
          <w:tcPr>
            <w:tcW w:type="dxa" w:w="2126"/>
            <w:tcBorders>
              <w:top w:val="single" w:sz="4" w:space="0" w:color="E5E7EB"/>
              <w:bottom w:val="single" w:sz="4" w:space="0" w:color="E5E7EB"/>
              <w:left w:val="single" w:sz="4" w:space="0" w:color="E5E7EB"/>
              <w:right w:val="single" w:sz="4" w:space="0" w:color="E5E7EB"/>
            </w:tcBorders>
            <w:tcW w:w="2200" w:type="dxa"/>
            <w:shd w:val="clear" w:color="auto" w:fill="FFFBEB"/>
            <w:tcMar>
              <w:top w:w="70" w:type="dxa"/>
              <w:bottom w:w="70" w:type="dxa"/>
              <w:left w:w="100" w:type="dxa"/>
              <w:right w:w="100" w:type="dxa"/>
            </w:tcMar>
          </w:tcPr>
          <w:p>
            <w:pPr>
              <w:spacing w:after="0"/>
              <w:jc w:val="center"/>
            </w:pPr>
            <w:r>
              <w:rPr>
                <w:rFonts w:ascii="Calibri" w:hAnsi="Calibri"/>
                <w:b/>
                <w:i w:val="0"/>
                <w:color w:val="92400E"/>
                <w:sz w:val="20"/>
              </w:rPr>
              <w:t>Amber</w:t>
            </w:r>
          </w:p>
        </w:tc>
        <w:tc>
          <w:tcPr>
            <w:tcW w:type="dxa" w:w="2126"/>
            <w:tcBorders>
              <w:top w:val="single" w:sz="4" w:space="0" w:color="E5E7EB"/>
              <w:bottom w:val="single" w:sz="4" w:space="0" w:color="E5E7EB"/>
              <w:left w:val="single" w:sz="4" w:space="0" w:color="E5E7EB"/>
              <w:right w:val="single" w:sz="4" w:space="0" w:color="E5E7EB"/>
            </w:tcBorders>
            <w:tcW w:w="1400" w:type="dxa"/>
            <w:shd w:val="clear" w:color="auto" w:fill="F9FAFB"/>
            <w:tcMar>
              <w:top w:w="70" w:type="dxa"/>
              <w:bottom w:w="70" w:type="dxa"/>
              <w:left w:w="100" w:type="dxa"/>
              <w:right w:w="100" w:type="dxa"/>
            </w:tcMar>
          </w:tcPr>
          <w:p>
            <w:pPr>
              <w:spacing w:after="0"/>
              <w:jc w:val="center"/>
            </w:pPr>
            <w:r>
              <w:rPr>
                <w:rFonts w:ascii="Calibri" w:hAnsi="Calibri"/>
                <w:b/>
                <w:i w:val="0"/>
                <w:color w:val="15803D"/>
                <w:sz w:val="28"/>
              </w:rPr>
              <w:t>↑</w:t>
            </w:r>
          </w:p>
        </w:tc>
        <w:tc>
          <w:tcPr>
            <w:tcW w:type="dxa" w:w="2126"/>
            <w:tcBorders>
              <w:top w:val="single" w:sz="4" w:space="0" w:color="E5E7EB"/>
              <w:bottom w:val="single" w:sz="4" w:space="0" w:color="E5E7EB"/>
              <w:left w:val="single" w:sz="4" w:space="0" w:color="E5E7EB"/>
              <w:right w:val="single" w:sz="4" w:space="0" w:color="E5E7EB"/>
            </w:tcBorders>
            <w:tcW w:w="2400" w:type="dxa"/>
            <w:shd w:val="clear" w:color="auto" w:fill="FFFFFF"/>
            <w:tcMar>
              <w:top w:w="70" w:type="dxa"/>
              <w:bottom w:w="70" w:type="dxa"/>
              <w:left w:w="100" w:type="dxa"/>
              <w:right w:w="100" w:type="dxa"/>
            </w:tcMar>
          </w:tcPr>
          <w:p>
            <w:pPr>
              <w:spacing w:after="0"/>
            </w:pPr>
            <w:r>
              <w:rPr>
                <w:rFonts w:ascii="Calibri" w:hAnsi="Calibri"/>
                <w:b w:val="0"/>
                <w:i w:val="0"/>
                <w:color w:val="374151"/>
                <w:sz w:val="18"/>
              </w:rPr>
              <w:t>Endpoints nog zonder centrale log-forwarding</w:t>
            </w:r>
          </w:p>
        </w:tc>
      </w:tr>
    </w:tbl>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8 · Conclusie &amp; Directieverklaring</w:t>
      </w:r>
      <w:r>
        <w:rPr>
          <w:rFonts w:ascii="Calibri" w:hAnsi="Calibri"/>
          <w:color w:val="1D4ED8"/>
          <w:sz w:val="16"/>
        </w:rPr>
        <w:t xml:space="preserve">    NIS2 Art. 21(2)(f)  ·  ISO 27001 Cl. 9.3</w:t>
      </w:r>
    </w:p>
    <w:p>
      <w:pPr>
        <w:spacing w:before="0" w:after="160"/>
      </w:pPr>
      <w:r>
        <w:rPr>
          <w:rFonts w:ascii="Calibri" w:hAnsi="Calibri"/>
          <w:b w:val="0"/>
          <w:i w:val="0"/>
          <w:color w:val="374151"/>
          <w:sz w:val="22"/>
        </w:rPr>
        <w:t>De jaarlijkse review is de formele sluiting van het NIS2-compliance jaar. Onderstaande directieverklaring bevestigt dat de organisatie haar verplichtingen conform de Cyberbeveiligingswet (omzetting NIS2-richtlijn) heeft nageleefd en een actieprogramma voor het komend jaar heeft vastgesteld.</w:t>
      </w:r>
    </w:p>
    <w:tbl>
      <w:tblPr>
        <w:tblW w:type="auto" w:w="0"/>
        <w:tblLook w:firstColumn="1" w:firstRow="1" w:lastColumn="0" w:lastRow="0" w:noHBand="0" w:noVBand="1" w:val="04A0"/>
        <w:tblW w:w="8504" w:type="dxa"/>
        <w:jc w:val="left"/>
      </w:tblPr>
      <w:tblGrid>
        <w:gridCol w:w="2400"/>
        <w:gridCol w:w="61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Reviewperiode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{{JAAR}}  (bijv. 1 januari – 31 december {{JAAR}})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Totale compliance-score</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{{X}} van 7 modules Groen  ·  {{Y}} Amber  ·  {{Z}} Rood</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Significante incidenten</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 incidenten in de reviewperiode — {{N}} gemeld bij NCSC</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2400" w:type="dxa"/>
            <w:shd w:val="clear" w:color="auto" w:fill="374151"/>
            <w:tcMar>
              <w:top w:w="80" w:type="dxa"/>
              <w:bottom w:w="80" w:type="dxa"/>
              <w:left w:w="120" w:type="dxa"/>
              <w:right w:w="80" w:type="dxa"/>
            </w:tcMar>
          </w:tcPr>
          <w:p>
            <w:pPr>
              <w:spacing w:after="0"/>
            </w:pPr>
            <w:r>
              <w:rPr>
                <w:rFonts w:ascii="Calibri" w:hAnsi="Calibri"/>
                <w:b/>
                <w:i w:val="0"/>
                <w:color w:val="FFFFFF"/>
                <w:sz w:val="18"/>
              </w:rPr>
              <w:t>Actieprogramma</w:t>
            </w:r>
          </w:p>
        </w:tc>
        <w:tc>
          <w:tcPr>
            <w:tcW w:type="dxa" w:w="4252"/>
            <w:tcBorders>
              <w:top w:val="single" w:sz="4" w:space="0" w:color="E5E7EB"/>
              <w:bottom w:val="single" w:sz="4" w:space="0" w:color="E5E7EB"/>
              <w:left w:val="single" w:sz="4" w:space="0" w:color="E5E7EB"/>
              <w:right w:val="single" w:sz="4" w:space="0" w:color="E5E7EB"/>
            </w:tcBorders>
            <w:tcW w:w="6104" w:type="dxa"/>
            <w:tcMar>
              <w:top w:w="80" w:type="dxa"/>
              <w:bottom w:w="80" w:type="dxa"/>
              <w:left w:w="120" w:type="dxa"/>
              <w:right w:w="80" w:type="dxa"/>
            </w:tcMar>
          </w:tcPr>
          <w:p>
            <w:pPr>
              <w:spacing w:after="0"/>
            </w:pPr>
            <w:r>
              <w:rPr>
                <w:rFonts w:ascii="Calibri" w:hAnsi="Calibri"/>
                <w:b/>
                <w:color w:val="713F12"/>
                <w:sz w:val="22"/>
                <w:highlight w:val="yellow"/>
              </w:rPr>
              <w:t>{{N}} verbetermaatregelen vastgesteld voor {{JAAR+1}}</w:t>
            </w:r>
          </w:p>
        </w:tc>
      </w:tr>
    </w:tbl>
    <w:p>
      <w:pPr>
        <w:spacing w:before="240" w:after="80"/>
      </w:pPr>
    </w:p>
    <w:p>
      <w:pPr>
        <w:spacing w:before="0" w:after="240"/>
      </w:pPr>
      <w:r>
        <w:rPr>
          <w:rFonts w:ascii="Calibri" w:hAnsi="Calibri"/>
          <w:b w:val="0"/>
          <w:i w:val="0"/>
          <w:color w:val="374151"/>
          <w:sz w:val="22"/>
        </w:rPr>
        <w:t>De directie verklaart dat de organisatie in de bovenstaande periode heeft gehandeld conform de vereisten van de Cyberbeveiligingswet (NIS2 Art. 21) en dat alle genomen maatregelen zijn gedocumenteerd in de NIS2 Compliance Toolkit (Modules 1–8 + Registers). Het actieprogramma voor het komend jaar is vastgesteld en wordt kwartaalgewijs gemonitord door de CISO en halfjaarlijks gerapporteerd aan de directie.</w:t>
      </w:r>
    </w:p>
    <w:tbl>
      <w:tblPr>
        <w:tblW w:type="auto" w:w="0"/>
        <w:tblLook w:firstColumn="1" w:firstRow="1" w:lastColumn="0" w:lastRow="0" w:noHBand="0" w:noVBand="1" w:val="04A0"/>
        <w:tblW w:w="8504" w:type="dxa"/>
        <w:jc w:val="left"/>
      </w:tblPr>
      <w:tblGrid>
        <w:gridCol w:w="4000"/>
        <w:gridCol w:w="45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Organisatienaam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{{BEDRIJFSNAAM}}</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Naam directeur / CEO</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{{NAAM DIRECTEUR}}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Functie</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{{FUNCTIE}}</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Handtekening &amp; datum</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 xml:space="preserve">  </w:t>
              <w:br/>
              <w:t xml:space="preserve">  </w:t>
              <w:br/>
              <w:t>{{HANDTEKENING}}  ·  Datum: {{DATUM}}</w:t>
            </w:r>
          </w:p>
        </w:tc>
      </w:tr>
    </w:tbl>
    <w:p>
      <w:pPr>
        <w:spacing w:before="0" w:after="80"/>
      </w:pPr>
      <w:r>
        <w:rPr>
          <w:rFonts w:ascii="Calibri" w:hAnsi="Calibri"/>
          <w:b w:val="0"/>
          <w:i/>
          <w:color w:val="14532D"/>
          <w:sz w:val="18"/>
        </w:rPr>
        <w:t>✓  Jaarlijkse directieverklaring conform NIS2 Art. 21(2)(f) + ISO 27001 Clausule 9.3  ·  Compliance-dossier beschikbaar voor toezichthouder op verzoek</w:t>
      </w:r>
    </w:p>
    <w:p>
      <w:pPr>
        <w:spacing w:before="0" w:after="0"/>
      </w:pPr>
      <w:r>
        <w:br w:type="page"/>
      </w:r>
    </w:p>
    <w:p>
      <w:pPr>
        <w:spacing w:before="280" w:after="120"/>
        <w:keepNext w:val="1"/>
        <w:pBdr>
          <w:left w:val="single" w:sz="18" w:space="4" w:color="1c1c2e"/>
        </w:pBdr>
        <w:shd w:val="clear" w:color="auto" w:fill="F5F5F5"/>
        <w:ind w:left="180"/>
      </w:pPr>
      <w:r>
        <w:rPr>
          <w:rFonts w:ascii="Calibri" w:hAnsi="Calibri"/>
          <w:b/>
          <w:color w:val="1C1C2E"/>
          <w:sz w:val="20"/>
        </w:rPr>
        <w:t>9 · Dossierarchivering &amp; Ondertekening — Compliance-dossier afsluiten</w:t>
      </w:r>
      <w:r>
        <w:rPr>
          <w:rFonts w:ascii="Calibri" w:hAnsi="Calibri"/>
          <w:color w:val="1D4ED8"/>
          <w:sz w:val="16"/>
        </w:rPr>
        <w:t xml:space="preserve">    NIS2 Art. 21(1)  ·  ISO 27001 Cl. 5.1, 9.3</w:t>
      </w:r>
    </w:p>
    <w:p>
      <w:pPr>
        <w:spacing w:before="0" w:after="240"/>
      </w:pPr>
      <w:r>
        <w:rPr>
          <w:rFonts w:ascii="Calibri" w:hAnsi="Calibri"/>
          <w:b w:val="0"/>
          <w:i w:val="0"/>
          <w:color w:val="374151"/>
          <w:sz w:val="22"/>
        </w:rPr>
        <w:t>Dit document vormt samen met de Modules 1–7, XLSX-registers en incidentenlogboek het complete NIS2-compliance dossier voor de reviewperiode. Bewaar dit dossier minimaal 3 jaar en stel het beschikbaar op verzoek van bevoegde toezichthouders (NCSC, RDI, sector-toezichthouder).</w:t>
      </w:r>
    </w:p>
    <w:tbl>
      <w:tblPr>
        <w:tblW w:type="auto" w:w="0"/>
        <w:tblLook w:firstColumn="1" w:firstRow="1" w:lastColumn="0" w:lastRow="0" w:noHBand="0" w:noVBand="1" w:val="04A0"/>
        <w:tblW w:w="8504" w:type="dxa"/>
        <w:jc w:val="left"/>
      </w:tblPr>
      <w:tblGrid>
        <w:gridCol w:w="4000"/>
        <w:gridCol w:w="4504"/>
      </w:tblGrid>
      <w:tblGrid>
        <w:gridCol w:w="4252"/>
        <w:gridCol w:w="4252"/>
      </w:tblGrid>
      <w:tr>
        <w:trPr>
          <w:cantSplit w:val="1"/>
          <w:tblHeader/>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Reviewperiode (afgerond)</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{{JAAR}}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Datum directieverklaring</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{{DATUM}}</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Volgende review gepland</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{{DATUM VOLGENDE REVIEW}}</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Archief locatie dossier</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{{LOCATIE COMPLIANCE-DOSSIER}}</w:t>
            </w:r>
          </w:p>
        </w:tc>
      </w:tr>
      <w:tr>
        <w:trPr>
          <w:cantSplit w:val="1"/>
        </w:trPr>
        <w:tc>
          <w:tcPr>
            <w:tcW w:type="dxa" w:w="4252"/>
            <w:tcBorders>
              <w:top w:val="single" w:sz="4" w:space="0" w:color="E5E7EB"/>
              <w:bottom w:val="single" w:sz="4" w:space="0" w:color="E5E7EB"/>
              <w:left w:val="single" w:sz="4" w:space="0" w:color="E5E7EB"/>
              <w:right w:val="single" w:sz="4" w:space="0" w:color="E5E7EB"/>
            </w:tcBorders>
            <w:tcW w:w="4000" w:type="dxa"/>
            <w:shd w:val="clear" w:color="auto" w:fill="F5F5F5"/>
            <w:tcMar>
              <w:top w:w="80" w:type="dxa"/>
              <w:bottom w:w="80" w:type="dxa"/>
              <w:left w:w="120" w:type="dxa"/>
              <w:right w:w="80" w:type="dxa"/>
            </w:tcMar>
          </w:tcPr>
          <w:p>
            <w:pPr>
              <w:spacing w:after="0"/>
            </w:pPr>
            <w:r>
              <w:rPr>
                <w:rFonts w:ascii="Calibri" w:hAnsi="Calibri"/>
                <w:b/>
                <w:i w:val="0"/>
                <w:color w:val="374151"/>
                <w:sz w:val="20"/>
              </w:rPr>
              <w:t>Dossier bewaartermijn</w:t>
            </w:r>
          </w:p>
        </w:tc>
        <w:tc>
          <w:tcPr>
            <w:tcW w:type="dxa" w:w="4252"/>
            <w:tcBorders>
              <w:top w:val="single" w:sz="4" w:space="0" w:color="E5E7EB"/>
              <w:bottom w:val="single" w:sz="4" w:space="0" w:color="E5E7EB"/>
              <w:left w:val="single" w:sz="4" w:space="0" w:color="E5E7EB"/>
              <w:right w:val="single" w:sz="4" w:space="0" w:color="E5E7EB"/>
            </w:tcBorders>
            <w:tcW w:w="4504" w:type="dxa"/>
            <w:tcMar>
              <w:top w:w="80" w:type="dxa"/>
              <w:bottom w:w="80" w:type="dxa"/>
              <w:left w:w="120" w:type="dxa"/>
              <w:right w:w="80" w:type="dxa"/>
            </w:tcMar>
          </w:tcPr>
          <w:p>
            <w:pPr>
              <w:spacing w:after="0"/>
            </w:pPr>
            <w:r>
              <w:rPr>
                <w:rFonts w:ascii="Calibri" w:hAnsi="Calibri"/>
                <w:b/>
                <w:color w:val="713F12"/>
                <w:sz w:val="22"/>
                <w:highlight w:val="yellow"/>
              </w:rPr>
              <w:t>Minimaal 3 jaar  ·  Sectoreis: {{SECTORSPECIFIEKE TERMIJN}}</w:t>
            </w:r>
          </w:p>
        </w:tc>
      </w:tr>
    </w:tbl>
    <w:p>
      <w:pPr>
        <w:spacing w:before="0" w:after="80"/>
      </w:pPr>
      <w:r>
        <w:rPr>
          <w:rFonts w:ascii="Calibri" w:hAnsi="Calibri"/>
          <w:b w:val="0"/>
          <w:i/>
          <w:color w:val="14532D"/>
          <w:sz w:val="20"/>
        </w:rPr>
        <w:t>🎯  Gefeliciteerd — u heeft de volledige NIS2 Compliance Toolkit doorlopen. Uw organisatie beschikt over een gedocumenteerd, aantoonbaar compliance-programma conform de Cyberbeveiligingswet. Bewaar dit dossier en start volgend jaar opnieuw met Module 1.</w:t>
      </w:r>
    </w:p>
    <w:p>
      <w:pPr>
        <w:spacing w:before="0" w:after="0"/>
      </w:pPr>
      <w:r>
        <w:br w:type="page"/>
      </w:r>
    </w:p>
    <w:p>
      <w:pPr>
        <w:spacing w:before="0" w:after="0"/>
        <w:pBdr>
          <w:top w:val="single" w:sz="20" w:space="1" w:color="1c1c2e"/>
        </w:pBdr>
      </w:pPr>
    </w:p>
    <w:p>
      <w:pPr>
        <w:spacing w:before="800" w:after="0"/>
        <w:jc w:val="center"/>
      </w:pPr>
    </w:p>
    <w:p>
      <w:pPr>
        <w:spacing w:before="0" w:after="0"/>
        <w:jc w:val="center"/>
      </w:pPr>
      <w:r>
        <w:drawing>
          <wp:inline xmlns:a="http://schemas.openxmlformats.org/drawingml/2006/main" xmlns:pic="http://schemas.openxmlformats.org/drawingml/2006/picture">
            <wp:extent cx="2926080" cy="686479"/>
            <wp:docPr id="1" name="Picture 1"/>
            <wp:cNvGraphicFramePr>
              <a:graphicFrameLocks noChangeAspect="1"/>
            </wp:cNvGraphicFramePr>
            <a:graphic>
              <a:graphicData uri="http://schemas.openxmlformats.org/drawingml/2006/picture">
                <pic:pic>
                  <pic:nvPicPr>
                    <pic:cNvPr id="0" name="MKBTechGids_trimmed.png"/>
                    <pic:cNvPicPr/>
                  </pic:nvPicPr>
                  <pic:blipFill>
                    <a:blip r:embed="rId11"/>
                    <a:stretch>
                      <a:fillRect/>
                    </a:stretch>
                  </pic:blipFill>
                  <pic:spPr>
                    <a:xfrm>
                      <a:off x="0" y="0"/>
                      <a:ext cx="2926080" cy="686479"/>
                    </a:xfrm>
                    <a:prstGeom prst="rect"/>
                  </pic:spPr>
                </pic:pic>
              </a:graphicData>
            </a:graphic>
          </wp:inline>
        </w:drawing>
      </w:r>
    </w:p>
    <w:p>
      <w:pPr>
        <w:spacing w:before="480" w:after="0"/>
        <w:jc w:val="center"/>
      </w:pPr>
    </w:p>
    <w:p>
      <w:pPr>
        <w:spacing w:before="0" w:after="360"/>
        <w:pBdr>
          <w:bottom w:val="single" w:sz="4" w:space="1" w:color="e5e7eb"/>
        </w:pBdr>
      </w:pPr>
    </w:p>
    <w:p>
      <w:pPr>
        <w:spacing w:before="0" w:after="100"/>
        <w:jc w:val="center"/>
      </w:pPr>
      <w:r>
        <w:rPr>
          <w:rFonts w:ascii="Calibri" w:hAnsi="Calibri"/>
          <w:b w:val="0"/>
          <w:i/>
          <w:color w:val="6B7280"/>
          <w:sz w:val="18"/>
        </w:rPr>
        <w:t>Ontwikkeld en uitgegeven door</w:t>
      </w:r>
    </w:p>
    <w:p>
      <w:pPr>
        <w:spacing w:before="0" w:after="60"/>
        <w:jc w:val="center"/>
      </w:pPr>
      <w:r>
        <w:rPr>
          <w:rFonts w:ascii="Calibri" w:hAnsi="Calibri"/>
          <w:b/>
          <w:i w:val="0"/>
          <w:color w:val="1C1C2E"/>
          <w:sz w:val="36"/>
        </w:rPr>
        <w:t>MKBTechGids</w:t>
      </w:r>
    </w:p>
    <w:p>
      <w:pPr>
        <w:spacing w:before="0" w:after="40"/>
        <w:jc w:val="center"/>
      </w:pPr>
      <w:r>
        <w:rPr>
          <w:rFonts w:ascii="Calibri" w:hAnsi="Calibri"/>
          <w:b w:val="0"/>
          <w:i/>
          <w:color w:val="14532D"/>
          <w:sz w:val="20"/>
        </w:rPr>
        <w:t>Technologie met vertrouwen</w:t>
      </w:r>
      <w:r>
        <w:rPr>
          <w:rFonts w:ascii="Calibri" w:hAnsi="Calibri"/>
          <w:b w:val="0"/>
          <w:i w:val="0"/>
          <w:color w:val="D1D5DB"/>
          <w:sz w:val="20"/>
        </w:rPr>
        <w:t xml:space="preserve">   ·   </w:t>
      </w:r>
      <w:r>
        <w:rPr>
          <w:rFonts w:ascii="Calibri" w:hAnsi="Calibri"/>
          <w:b w:val="0"/>
          <w:i w:val="0"/>
          <w:color w:val="6B7280"/>
          <w:sz w:val="18"/>
        </w:rPr>
        <w:t xml:space="preserve">onderdeel van </w:t>
      </w:r>
      <w:r>
        <w:rPr>
          <w:rFonts w:ascii="Calibri" w:hAnsi="Calibri"/>
          <w:b/>
          <w:i w:val="0"/>
          <w:color w:val="1C1C2E"/>
          <w:sz w:val="18"/>
        </w:rPr>
        <w:t>TechLeadNL</w:t>
      </w:r>
    </w:p>
    <w:p>
      <w:pPr>
        <w:spacing w:before="400" w:after="0"/>
        <w:jc w:val="center"/>
      </w:pPr>
    </w:p>
    <w:tbl>
      <w:tblPr>
        <w:tblW w:type="auto" w:w="0"/>
        <w:tblLook w:firstColumn="1" w:firstRow="1" w:lastColumn="0" w:lastRow="0" w:noHBand="0" w:noVBand="1" w:val="04A0"/>
        <w:tblW w:w="8504" w:type="dxa"/>
        <w:jc w:val="left"/>
        <w:jc w:val="center"/>
      </w:tblPr>
      <w:tblGrid>
        <w:gridCol w:w="4252"/>
        <w:gridCol w:w="4252"/>
      </w:tblGrid>
      <w:tblGrid>
        <w:gridCol w:w="4252"/>
        <w:gridCol w:w="4252"/>
      </w:tblGrid>
      <w:tr>
        <w:trPr>
          <w:cantSplit w:val="1"/>
          <w:tblHeader/>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color w:val="1C1C2E"/>
                <w:sz w:val="20"/>
              </w:rPr>
              <w:t>techleadnl.nl</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info@mkbtechgids.nl</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1C1C2E"/>
                <w:sz w:val="18"/>
              </w:rPr>
              <w:t>Brielle, Zuid-Holland · Nederland</w:t>
            </w:r>
          </w:p>
        </w:tc>
      </w:tr>
      <w:tr>
        <w:trPr>
          <w:cantSplit w:val="1"/>
        </w:trPr>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NIS2 Compliance Toolkit · Versie 1.0 · 2026</w:t>
            </w:r>
          </w:p>
        </w:tc>
        <w:tc>
          <w:tcPr>
            <w:tcW w:type="dxa" w:w="4252"/>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252" w:type="dxa"/>
            <w:tcMar>
              <w:top w:w="35" w:type="dxa"/>
              <w:bottom w:w="35" w:type="dxa"/>
              <w:left w:w="80" w:type="dxa"/>
              <w:right w:w="80" w:type="dxa"/>
            </w:tcMar>
          </w:tcPr>
          <w:p>
            <w:pPr>
              <w:jc w:val="center"/>
            </w:pPr>
            <w:r>
              <w:rPr>
                <w:rFonts w:ascii="Calibri" w:hAnsi="Calibri"/>
                <w:b w:val="0"/>
                <w:color w:val="6B7280"/>
                <w:sz w:val="18"/>
              </w:rPr>
              <w:t>Module 8 — Jaarlijkse Review &amp; Directiebeoordeling</w:t>
            </w:r>
          </w:p>
        </w:tc>
      </w:tr>
    </w:tbl>
    <w:p>
      <w:pPr>
        <w:spacing w:before="440" w:after="0"/>
        <w:jc w:val="center"/>
      </w:pPr>
    </w:p>
    <w:p>
      <w:pPr>
        <w:spacing w:before="0" w:after="120"/>
        <w:jc w:val="center"/>
      </w:pPr>
      <w:r>
        <w:rPr>
          <w:rFonts w:ascii="Calibri" w:hAnsi="Calibri"/>
          <w:b w:val="0"/>
          <w:i/>
          <w:color w:val="14532D"/>
          <w:sz w:val="18"/>
        </w:rPr>
        <w:t>✓  Gratis regelgevingsupdates gedurende 12 maanden na aankoop</w:t>
      </w:r>
    </w:p>
    <w:p>
      <w:pPr>
        <w:spacing w:before="0" w:after="560"/>
        <w:jc w:val="center"/>
      </w:pPr>
      <w:r>
        <w:rPr>
          <w:rFonts w:ascii="Calibri" w:hAnsi="Calibri"/>
          <w:b w:val="0"/>
          <w:i w:val="0"/>
          <w:color w:val="D1D5DB"/>
          <w:sz w:val="16"/>
        </w:rPr>
        <w:t>Licentie voor één entiteit  ·  Niet voor doorverkoop of herverspreiding</w:t>
      </w:r>
    </w:p>
    <w:p>
      <w:pPr>
        <w:spacing w:before="0" w:after="160"/>
        <w:pBdr>
          <w:top w:val="single" w:sz="16" w:space="1" w:color="1c1c2e"/>
        </w:pBdr>
      </w:pPr>
    </w:p>
    <w:p>
      <w:pPr>
        <w:spacing w:before="160" w:after="0"/>
        <w:jc w:val="center"/>
      </w:pPr>
      <w:r>
        <w:rPr>
          <w:rFonts w:ascii="Calibri" w:hAnsi="Calibri"/>
          <w:b w:val="0"/>
          <w:i w:val="0"/>
          <w:color w:val="6B7280"/>
          <w:sz w:val="16"/>
        </w:rPr>
        <w:t xml:space="preserve">KVK </w:t>
      </w:r>
      <w:r>
        <w:rPr>
          <w:rFonts w:ascii="Calibri" w:hAnsi="Calibri"/>
          <w:b/>
          <w:i w:val="0"/>
          <w:color w:val="1C1C2E"/>
          <w:sz w:val="16"/>
        </w:rPr>
        <w:t>27348456</w:t>
      </w:r>
      <w:r>
        <w:rPr>
          <w:rFonts w:ascii="Calibri" w:hAnsi="Calibri"/>
          <w:b w:val="0"/>
          <w:i w:val="0"/>
          <w:color w:val="D1D5DB"/>
          <w:sz w:val="16"/>
        </w:rPr>
        <w:t xml:space="preserve">   ·   </w:t>
      </w:r>
      <w:r>
        <w:rPr>
          <w:rFonts w:ascii="Calibri" w:hAnsi="Calibri"/>
          <w:b w:val="0"/>
          <w:i w:val="0"/>
          <w:color w:val="6B7280"/>
          <w:sz w:val="16"/>
        </w:rPr>
        <w:t xml:space="preserve">BTW </w:t>
      </w:r>
      <w:r>
        <w:rPr>
          <w:rFonts w:ascii="Calibri" w:hAnsi="Calibri"/>
          <w:b/>
          <w:i w:val="0"/>
          <w:color w:val="1C1C2E"/>
          <w:sz w:val="16"/>
        </w:rPr>
        <w:t>NL004968309B61</w:t>
      </w:r>
    </w:p>
    <w:sectPr w:rsidR="00FC693F" w:rsidRPr="0006063C" w:rsidSect="00034616">
      <w:headerReference w:type="default" r:id="rId9"/>
      <w:footerReference w:type="default" r:id="rId1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W w:w="8504" w:type="dxa"/>
      <w:jc w:val="left"/>
    </w:tblPr>
    <w:tblGrid>
      <w:gridCol w:w="3000"/>
      <w:gridCol w:w="3000"/>
      <w:gridCol w:w="25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left"/>
          </w:pPr>
          <w:r>
            <w:rPr>
              <w:rFonts w:ascii="Calibri" w:hAnsi="Calibri"/>
              <w:color w:val="6B7280"/>
              <w:sz w:val="14"/>
            </w:rPr>
            <w:t>{{BEDRIJFSNAAM}}  ·  Vertrouwelijk</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3000" w:type="dxa"/>
          <w:shd w:val="clear" w:color="auto" w:fill="F5F5F5"/>
          <w:tcMar>
            <w:top w:w="50" w:type="dxa"/>
            <w:bottom w:w="50" w:type="dxa"/>
            <w:left w:w="100" w:type="dxa"/>
            <w:right w:w="100" w:type="dxa"/>
          </w:tcMar>
        </w:tcPr>
        <w:p>
          <w:pPr>
            <w:jc w:val="center"/>
          </w:pPr>
          <w:r>
            <w:rPr>
              <w:rFonts w:ascii="Calibri" w:hAnsi="Calibri"/>
              <w:color w:val="1D4ED8"/>
              <w:sz w:val="14"/>
            </w:rPr>
            <w:t>NIS2 Art. 21(2)(a)  ·  ISO 27001 Cl. 6.1</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504" w:type="dxa"/>
          <w:shd w:val="clear" w:color="auto" w:fill="F5F5F5"/>
          <w:tcMar>
            <w:top w:w="50" w:type="dxa"/>
            <w:bottom w:w="50" w:type="dxa"/>
            <w:left w:w="100" w:type="dxa"/>
            <w:right w:w="100" w:type="dxa"/>
          </w:tcMar>
        </w:tcPr>
        <w:p>
          <w:pPr>
            <w:jc w:val="right"/>
          </w:pPr>
          <w:r>
            <w:rPr>
              <w:rFonts w:ascii="Calibri" w:hAnsi="Calibri"/>
              <w:color w:val="6B7280"/>
              <w:sz w:val="14"/>
            </w:rPr>
            <w:t xml:space="preserve">v1.0  ·  </w:t>
          </w:r>
          <w:r>
            <w:rPr>
              <w:rFonts w:ascii="Calibri" w:hAnsi="Calibri"/>
              <w:color w:val="6B7280"/>
              <w:sz w:val="14"/>
            </w:rPr>
            <w:fldChar w:fldCharType="begin"/>
            <w:instrText>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W w:w="8504" w:type="dxa"/>
      <w:jc w:val="left"/>
    </w:tblPr>
    <w:tblGrid>
      <w:gridCol w:w="2200"/>
      <w:gridCol w:w="4100"/>
      <w:gridCol w:w="2204"/>
    </w:tblGrid>
    <w:tblGrid>
      <w:gridCol w:w="3024"/>
      <w:gridCol w:w="3024"/>
      <w:gridCol w:w="3024"/>
    </w:tblGrid>
    <w:tr>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0" w:type="dxa"/>
          <w:shd w:val="clear" w:color="auto" w:fill="F5F5F5"/>
          <w:tcMar>
            <w:top w:w="60" w:type="dxa"/>
            <w:bottom w:w="60" w:type="dxa"/>
            <w:left w:w="100" w:type="dxa"/>
            <w:right w:w="100" w:type="dxa"/>
          </w:tcMar>
        </w:tcPr>
        <w:p>
          <w:pPr>
            <w:jc w:val="left"/>
          </w:pPr>
          <w:r>
            <w:rPr>
              <w:rFonts w:ascii="Calibri" w:hAnsi="Calibri"/>
              <w:b/>
              <w:color w:val="1C1C2E"/>
              <w:sz w:val="16"/>
            </w:rPr>
            <w:t>NIS2  ·  M08</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4100" w:type="dxa"/>
          <w:shd w:val="clear" w:color="auto" w:fill="F5F5F5"/>
          <w:tcMar>
            <w:top w:w="60" w:type="dxa"/>
            <w:bottom w:w="60" w:type="dxa"/>
            <w:left w:w="100" w:type="dxa"/>
            <w:right w:w="100" w:type="dxa"/>
          </w:tcMar>
        </w:tcPr>
        <w:p>
          <w:pPr>
            <w:jc w:val="center"/>
          </w:pPr>
          <w:r>
            <w:rPr>
              <w:rFonts w:ascii="Calibri" w:hAnsi="Calibri"/>
              <w:color w:val="374151"/>
              <w:sz w:val="16"/>
            </w:rPr>
            <w:t>Jaarlijkse Review — NIS2 Module 8</w:t>
          </w:r>
        </w:p>
      </w:tc>
      <w:tc>
        <w:tcPr>
          <w:tcW w:type="dxa" w:w="3024"/>
          <w:tcBorders>
            <w:top w:val="none" w:sz="0" w:space="0" w:color="FFFFFF"/>
            <w:bottom w:val="none" w:sz="0" w:space="0" w:color="FFFFFF"/>
            <w:left w:val="none" w:sz="0" w:space="0" w:color="FFFFFF"/>
            <w:right w:val="none" w:sz="0" w:space="0" w:color="FFFFFF"/>
            <w:insideH w:val="none" w:sz="0" w:space="0" w:color="FFFFFF"/>
            <w:insideV w:val="none" w:sz="0" w:space="0" w:color="FFFFFF"/>
          </w:tcBorders>
          <w:tcW w:w="2204" w:type="dxa"/>
          <w:shd w:val="clear" w:color="auto" w:fill="F5F5F5"/>
          <w:tcMar>
            <w:top w:w="60" w:type="dxa"/>
            <w:bottom w:w="60" w:type="dxa"/>
            <w:left w:w="100" w:type="dxa"/>
            <w:right w:w="100" w:type="dxa"/>
          </w:tcMar>
        </w:tcPr>
        <w:p>
          <w:pPr>
            <w:jc w:val="right"/>
          </w:pPr>
          <w:r>
            <w:rPr>
              <w:rFonts w:ascii="Calibri" w:hAnsi="Calibri"/>
              <w:i/>
              <w:color w:val="6B7280"/>
              <w:sz w:val="14"/>
            </w:rPr>
            <w:t>[ LOGO BEDRIJF ]</w:t>
          </w:r>
        </w:p>
      </w:tc>
    </w:tr>
  </w:tbl>
  <w:p>
    <w:pPr>
      <w:spacing w:before="0" w:after="0"/>
      <w:pBdr>
        <w:bottom w:val="single" w:sz="6" w:space="1" w:color="1c1c2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ascii="Calibri" w:hAnsi="Calibri"/>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rPr>
      <w:rFonts w:ascii="Calibri" w:hAnsi="Calibri"/>
      <w:sz w:val="22"/>
    </w:rPr>
  </w:style>
  <w:style w:type="paragraph" w:styleId="BodyText2">
    <w:name w:val="Body Text 2"/>
    <w:basedOn w:val="Normal"/>
    <w:link w:val="BodyText2Char"/>
    <w:uiPriority w:val="99"/>
    <w:unhideWhenUsed/>
    <w:rsid w:val="00AA1D8D"/>
    <w:pPr>
      <w:spacing w:after="120" w:line="480" w:lineRule="auto"/>
    </w:pPr>
    <w:rPr>
      <w:rFonts w:ascii="Calibri" w:hAnsi="Calibri"/>
      <w:sz w:val="22"/>
    </w:rPr>
  </w:style>
  <w:style w:type="character" w:customStyle="1" w:styleId="BodyText2Char">
    <w:name w:val="Body Text 2 Char"/>
    <w:basedOn w:val="DefaultParagraphFont"/>
    <w:link w:val="BodyText2"/>
    <w:uiPriority w:val="99"/>
    <w:rsid w:val="00AA1D8D"/>
    <w:rPr>
      <w:rFonts w:ascii="Calibri" w:hAnsi="Calibri"/>
      <w:sz w:val="22"/>
    </w:rPr>
  </w:style>
  <w:style w:type="paragraph" w:styleId="BodyText3">
    <w:name w:val="Body Text 3"/>
    <w:basedOn w:val="Normal"/>
    <w:link w:val="BodyText3Char"/>
    <w:uiPriority w:val="99"/>
    <w:unhideWhenUsed/>
    <w:rsid w:val="00AA1D8D"/>
    <w:pPr>
      <w:spacing w:after="120"/>
    </w:pPr>
    <w:rPr>
      <w:rFonts w:ascii="Calibri" w:hAnsi="Calibri"/>
      <w:sz w:val="22"/>
      <w:szCs w:val="16"/>
    </w:rPr>
  </w:style>
  <w:style w:type="character" w:customStyle="1" w:styleId="BodyText3Char">
    <w:name w:val="Body Text 3 Char"/>
    <w:basedOn w:val="DefaultParagraphFont"/>
    <w:link w:val="BodyText3"/>
    <w:uiPriority w:val="99"/>
    <w:rsid w:val="00AA1D8D"/>
    <w:rPr>
      <w:rFonts w:ascii="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