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1B365D"/>
          </w:tcPr>
          <w:p>
            <w:pPr>
              <w:jc w:val="left"/>
            </w:pPr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2"/>
              </w:rPr>
              <w:t>个人量化研究系统  ·  stock-quant-system</w:t>
            </w:r>
          </w:p>
          <w:p>
            <w:r>
              <w:rPr>
                <w:rFonts w:ascii="Calibri" w:hAnsi="Calibri" w:eastAsia="微软雅黑" w:cs="Calibri"/>
                <w:b/>
                <w:i w:val="0"/>
                <w:color w:val="FFFFFF"/>
                <w:sz w:val="52"/>
              </w:rPr>
              <w:t>开发者使用说明书</w:t>
            </w:r>
          </w:p>
          <w:p>
            <w:r>
              <w:rPr>
                <w:rFonts w:ascii="Calibri" w:hAnsi="Calibri" w:eastAsia="微软雅黑" w:cs="Calibri"/>
                <w:b w:val="0"/>
                <w:i w:val="0"/>
                <w:color w:val="D6DEE8"/>
                <w:sz w:val="24"/>
              </w:rPr>
              <w:t>架构 · 运维 · 模型生命周期 · 制度边界 · LLM 选型</w:t>
            </w:r>
          </w:p>
        </w:tc>
      </w:tr>
    </w:tbl>
    <w:p/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版本 1.0    编写日期 2026-08-26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适用对象：维护本仓库的开发者（即系统所有者）</w:t>
      </w:r>
    </w:p>
    <w:p>
      <w:pPr>
        <w:spacing w:after="40" w:line="360" w:lineRule="auto"/>
      </w:pPr>
      <w:r>
        <w:rPr>
          <w:rFonts w:ascii="Calibri" w:hAnsi="Calibri" w:eastAsia="微软雅黑" w:cs="Calibri"/>
          <w:b w:val="0"/>
          <w:i w:val="0"/>
          <w:color w:val="5A626E"/>
          <w:sz w:val="22"/>
        </w:rPr>
        <w:t>强制规则：.cursor/rules/quant-dev-loop.mdc 与 vibe-coding-ethics.mdc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EF2F2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1B365D"/>
                <w:sz w:val="22"/>
              </w:rPr>
              <w:t>使用前请先读这一段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本系统全部输出仅供个人研究与学习，不构成投资建议、不承诺收益、不代客理财、不自动下单。最终交易决策及盈亏由使用者自行承担。建议卡片上的动作（减仓/止损/观察等）是规则引擎给出的信息性提示，不是下单指令。</w:t>
            </w:r>
          </w:p>
        </w:tc>
      </w:tr>
    </w:tbl>
    <w:p>
      <w:pPr>
        <w:spacing w:after="120"/>
      </w:pPr>
    </w:p>
    <w:p>
      <w:pPr>
        <w:pStyle w:val="Heading1"/>
      </w:pPr>
      <w:r>
        <w:t>1. 制度是否合理？有没有企业级标准？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结论先说：制度设计合理，对标的是企业级原则，落地的是「个人可重复级」工程，不是券商或对冲基金的生产平台。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你定的两套规则——八闸门研发闭环、八荣八耻、冠军必须同协议打赢才能替换——对应的是公开、可引用的行业实践：ThoughtWorks CD4ML（代码+数据+模型一起版本化，挑战者对照冠军晋升）、CRISP-DM（评估不可跳过）、量化研究里的 Purged K-Fold / Walk-Forward（见理论库 docs/03-量化方法/10-时序验证与标签工程.md）。Phase 3 已经按门禁执行：DL 的 Walk-Forward RankIC 均值 0.1112 显著高于 LightGBM 的 0.0608（p=0.0182），但同口径 Top-30 净收益 Sharpe 0.90 对 1.31，因此未替换冠军。这说明制度不是墙上的字。</w:t>
      </w:r>
    </w:p>
    <w:p>
      <w:pPr>
        <w:pStyle w:val="Heading2"/>
      </w:pPr>
      <w:r>
        <w:t>1.1 和企业级清单逐项对照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企业级能力（CD4ML / MLOps）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本仓库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差距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实验与模型注册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mlops/registry/&lt;run_id&gt;/ + champion.json + promotion_log.jsonl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MLflow 服务器，无多用户实验板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同协议晋升门禁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已实现，DL 未晋升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阈值 0.01 RankIC 带宽是工程拍定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漂移监控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PSI / WF 趋势 / 滚动夏普 / 预留生产 IC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生产 IC 需 ≥20 个交易日，目前不足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数据版本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单文件 DuckDB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DVC/lakeFS，无法一键复现「某日仓库」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CI/CD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无。脚本手动跑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没有测试门禁流水线，也没有 git remote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模型服务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进程内 pickle + Streamlit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REST、无金丝雀、无影子流量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权限与审计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单用户本机，advice_log 可追溯建议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无 RBAC、无操作者身份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公平性/合规持牌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文案层免责 + Won't 清单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不是持牌投顾，不能对客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特征存储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parquet 面板 + DuckDB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 Feast 点时特征店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风险模型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历史法 VaR + 简化均值方差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不是 Barra 多因子风险模型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成熟度（对照常见 0–4 / 1–5 的 MLOps 梯子）大约在「2：训练与监控可重复，发布仍手工」。原则已经像企业；自动化、数据血统、在线服务、组织流程还差三档。不要用「我们有 CD4ML 文档」对外声称企业级。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若要靠近企业级，优先顺序是：git 远程与提交纪律 → 任务计划跑 daily_pipeline / 周末重训 → 带日期的仓库备份 → 等 prediction_log 够长再启用生产 IC。不要先上微服务。</w:t>
      </w:r>
    </w:p>
    <w:p>
      <w:pPr>
        <w:pStyle w:val="Heading2"/>
      </w:pPr>
      <w:r>
        <w:t>1.2 八闸门使用时的注意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闸门 4「测试与打分」禁止改评估口径来让数字好看。Phase 3 没有把 RankIC 单独当成晋升条件，就是在执行这一条。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闸门 8「微调下一任务」已经发生过：Phase 4 对照产品边界才补上组合优化，并在验收报告里写明「原任务列表未单列」。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八荣八耻第 7 条要求把不确定写出来。各 phase 验收报告的「已知局限」章节是制度的证据，删掉它们等于拆制度。</w:t>
      </w:r>
    </w:p>
    <w:p>
      <w:pPr>
        <w:pStyle w:val="Heading1"/>
      </w:pPr>
      <w:r>
        <w:t>2. 仓库地图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目录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职责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摸库吗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ingestion/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增量抓取，唯一写仓库的批量入口经 scripts/daily_pipeline.py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写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common/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配置、DuckDB schema、Tushare 客户端、重试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读写基础设施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research/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纯函数因子/标签/验证；panel.py 是 research 里唯一摸库模块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仅 panel/eval/train 读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advice/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扫描 + 建议卡片，不改模型权重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 + 写 prediction_log/advice_log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behavior/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处置效应/拥挤/情绪代理，只做冲突提示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risk/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持仓风险 + 组合优化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 positions 与行情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llm/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新闻抓取 + 翻译层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不写库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mlops/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重训调度、漂移、registry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读面板/日志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pages/ + app.py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Streamlit UI，禁止在页面里复制业务公式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经上述模块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分层约定不要打破：A 股规则以 research/a_share_rules.py 和 limit_price / suspend_calendar 为准；财务用 EAV；DuckDB 单写者，禁止并行写主库。</w:t>
      </w:r>
    </w:p>
    <w:p>
      <w:pPr>
        <w:pStyle w:val="Heading1"/>
      </w:pPr>
      <w:r>
        <w:t>3. 环境与密钥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Python 3.12，虚拟环境 .venv/。新终端用 pip 前设置 $env:PIP_CONFIG_FILE 指向 .venv/pip.ini（系统 pip.ini 编码问题）。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依赖见 requirements.txt。torch 必须用 cu124 索引安装，默认源会装成 CPU 版。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.env（已 gitignore）：TUSHARE_TOKEN、DASHSCOPE_API_KEY。不要提交、不要写进文档示例的真实值。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工作目录必须是 stock-quant-system/，相对路径 data/warehouse.duckdb、mlops/registry 才找得到。</w:t>
      </w:r>
    </w:p>
    <w:p>
      <w:pPr>
        <w:pStyle w:val="Heading1"/>
      </w:pPr>
      <w:r>
        <w:t>4. 日常运维命令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数据层唯一入口：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python -m scripts.daily_pipeline</w:t>
        <w:br/>
        <w:t>python -m scripts.daily_pipeline --only quotes,tushare_prices</w:t>
        <w:br/>
        <w:t>python -m scripts.daily_pipeline --skip fundamentals,income_statement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研究与模型：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1B365D"/>
          <w:sz w:val="20"/>
        </w:rPr>
        <w:t>python -m research.panel --start 20160101</w:t>
        <w:br/>
        <w:t>python -m research.factor_eval</w:t>
        <w:br/>
        <w:t>python -m research.train_lightgbm</w:t>
        <w:br/>
        <w:t>python -m research.backtest</w:t>
        <w:br/>
        <w:t>python -m advice.scanner --top-n 50</w:t>
        <w:br/>
        <w:t>python -m mlops.retrain_schedule</w:t>
        <w:br/>
        <w:t>python -m mlops.drift_monitor</w:t>
        <w:br/>
        <w:t>python -m streamlit run app.py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建议用 Windows「任务计划程序」：每个交易日收盘后若干小时跑 daily_pipeline（财务类可每周）；每周末跑 retrain_schedule 与 drift_monitor。脚本本身只做一次原子操作，不内置常驻进程。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数据源与网络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新浪为主、东财为辅；本机代理会导致部分东财接口不稳定。Tushare 2000 积分档仍无 cyq_perf 等权限。单位必须按官方文档换算（vol 手→股、amount 千元→元），Phase 2 已修过一次 100× 事故，新增 Tushare 表时先查档再写。</w:t>
            </w:r>
          </w:p>
        </w:tc>
      </w:tr>
    </w:tbl>
    <w:p>
      <w:pPr>
        <w:spacing w:after="120"/>
      </w:pPr>
    </w:p>
    <w:p>
      <w:pPr>
        <w:pStyle w:val="Heading1"/>
      </w:pPr>
      <w:r>
        <w:t>5. 模型生命周期（你必须守的门）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生产冠军指针：mlops/registry/champion.json，当前为 LightGBM run_id=20260826_123439。scanner 只加载冠军，不加载「文件夹名最新」。挑战者训练后必须用同一套 _date_level_splits、同一套三重障碍标签、同一套 research.backtest.run_portfolio_backtest 对比。只比 RankIC 不够。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晋升记录追加 promotion_log.jsonl。结论可以是「不晋升」。删除挑战者文件等于销毁证据，禁止。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标签与建议阈值必须同源：训练 label_config 为 profit_take=0.08、stop_loss=0.08、horizon 20 日；advice_engine 的止盈止损用同一对数。改一边必须改另一边并重训，否则逻辑分裂。</w:t>
      </w:r>
    </w:p>
    <w:p>
      <w:pPr>
        <w:pStyle w:val="Heading1"/>
      </w:pPr>
      <w:r>
        <w:t>6. 建议引擎优先级（不要改顺序「优化体验」）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合规与可交易性（停牌 / 涨停买不进 / 跌停卖不出）→ watch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生存风控（-8% 止损、单票 &gt;15%）→ stop_loss / reduce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账户结构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信号质量（+8% 且排名走弱才 take_profit）</w:t>
      </w:r>
    </w:p>
    <w:p>
      <w:pPr>
        <w:pStyle w:val="ListNumber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收益增强：apply_rebalance_overlay 只能把 hold 升级为 rebalance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单测约定：reduce 不得被优化器覆盖。组合优化失败要吞掉异常，不能阻断主建议。</w:t>
      </w:r>
    </w:p>
    <w:p>
      <w:pPr>
        <w:pStyle w:val="Heading1"/>
      </w:pPr>
      <w:r>
        <w:t>7. 大模型：DeepSeek 还是通义千问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本系统的 LLM 是翻译层，不是决策层。选型标准因此不是「谁更像 GPT」，而是：指令遵守（禁止买卖用语）、不编造输入没有的数字、中文可读、接口稳定、改动能不能局部化。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DeepSeek（现状）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通义千问（DashScope）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接口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https://api.deepseek.com/chat/completions，OpenAI 兼容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https://dashscope.aliyuncs.com/compatible-mode/v1，同样兼容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代码改动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llm/explain_assistant.py 已接好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改 base_url、model、.env 键名、config.yaml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任务匹配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遵守系统 prompt 足够；中文偏书面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说明文案通常更顺；Turbo/Plus/Max 可按成本换档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成本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个人点选，月费可忽略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Turbo 适合摘要，正式说明可用 Plus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运维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独立账号，故障面单一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阿里云企业合同、发票、地域更完整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本项目建议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继续作为默认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仅在 DeepSeek 不可用或你要走阿里云账单时切换</w:t>
            </w:r>
          </w:p>
        </w:tc>
      </w:tr>
    </w:tbl>
    <w:p>
      <w:pPr>
        <w:spacing w:after="160"/>
      </w:pP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建议维持 DeepSeek。解释质量的上限是输入质量（模型分数、因子、新闻标题），换一个同级中文模型几乎不会改变投资决策。若切换：抽象 _call_llm()，用 config.yaml 的 llm.provider 分支，不要复制一套 explain_assistant。价格与限流以官网当天页面为准，第三方博客数字不要写进生产配置。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7E6"/>
            <w:tcBorders>
              <w:top w:val="single" w:sz="4" w:space="0" w:color="D4A017"/>
              <w:left w:val="single" w:sz="4" w:space="0" w:color="D4A017"/>
              <w:bottom w:val="single" w:sz="4" w:space="0" w:color="D4A017"/>
              <w:right w:val="single" w:sz="4" w:space="0" w:color="D4A017"/>
            </w:tcBorders>
          </w:tcPr>
          <w:p>
            <w:pPr>
              <w:spacing w:after="80"/>
            </w:pPr>
            <w:r/>
            <w:r>
              <w:rPr>
                <w:rFonts w:ascii="Calibri" w:hAnsi="Calibri" w:eastAsia="微软雅黑" w:cs="Calibri"/>
                <w:b/>
                <w:i w:val="0"/>
                <w:color w:val="8A5A12"/>
                <w:sz w:val="22"/>
              </w:rPr>
              <w:t>局限 · LLM</w:t>
            </w:r>
          </w:p>
          <w:p>
            <w:pPr>
              <w:spacing w:after="40"/>
            </w:pPr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1"/>
              </w:rPr>
              <w:t>Key 必须使用者自己申请。未配置时必须优雅降级。禁止让 LLM 输出 action 或 pred_score。新闻抓取绕开了 akshare stock_news_em 在本环境 pandas pyarrow 后端上的正则 bug，不要「为了复用」改回那个函数。</w:t>
            </w:r>
          </w:p>
        </w:tc>
      </w:tr>
    </w:tbl>
    <w:p>
      <w:pPr>
        <w:spacing w:after="120"/>
      </w:pPr>
    </w:p>
    <w:p>
      <w:pPr>
        <w:pStyle w:val="Heading1"/>
      </w:pPr>
      <w:r>
        <w:t>8. 如何扩展（保持小步）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新因子：写在 research/factors.py（纯函数），在 panel.py 接入 point-in-time，factor_eval 出 IC，再决定是否进训练特征。禁止直接在 Streamlit 里算因子。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新数据源：先小样本打真实请求核对字段，再进 ingestion/，最后挂上 daily_pipeline 步骤表。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新建议动作：先改 advice_engine 优先级文档字符串和单测，再改 UI 表情映射。</w:t>
      </w:r>
    </w:p>
    <w:p>
      <w:pPr>
        <w:pStyle w:val="ListBullet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一次只做一个 Phase 量级的改动。跨分层（例如让 llm 写 advice_log 的 action）先写原因。</w:t>
      </w:r>
    </w:p>
    <w:p>
      <w:pPr>
        <w:pStyle w:val="Heading1"/>
      </w:pPr>
      <w:r>
        <w:t>9. 已知局限与刻意不做（开发视角）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3061"/>
            <w:shd w:val="clear" w:color="auto" w:fill="1B365D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</w:tcPr>
          <w:p>
            <w:r/>
            <w:r>
              <w:rPr>
                <w:rFonts w:ascii="Calibri" w:hAnsi="Calibri" w:eastAsia="微软雅黑" w:cs="Calibri"/>
                <w:b/>
                <w:i w:val="0"/>
                <w:color w:val="FFFFFF"/>
                <w:sz w:val="20"/>
              </w:rPr>
              <w:t>不要假装已解决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冠军回测净 CAGR / Sharpe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54.7% / 1.31，相对等权超额 p=0.0044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单条 walk-forward、84 个月，过拟合风险仍在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DL 挑战者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RankIC 更好，Top-N 更差，未上线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未做分位加权 loss，原因仍是假设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ST 历史标记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universe.is_st 是当前快照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回测无法完美还原历史 ST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行业/风格中性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组合优化未做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产品 Should 里「中性化」仍部分缺口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券商 API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Won't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不要为了「方便」去接未持牌代下单</w:t>
            </w:r>
          </w:p>
        </w:tc>
      </w:tr>
      <w:tr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git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本机目录甚至可能无仓库</w:t>
            </w:r>
          </w:p>
        </w:tc>
        <w:tc>
          <w:tcPr>
            <w:tcW w:type="dxa" w:w="3061"/>
            <w:tcBorders>
              <w:top w:val="single" w:sz="4" w:space="0" w:color="D6DEE8"/>
              <w:left w:val="single" w:sz="4" w:space="0" w:color="D6DEE8"/>
              <w:bottom w:val="single" w:sz="4" w:space="0" w:color="D6DEE8"/>
              <w:right w:val="single" w:sz="4" w:space="0" w:color="D6DEE8"/>
            </w:tcBorders>
            <w:shd w:val="clear" w:color="auto" w:fill="F5F7FA"/>
          </w:tcPr>
          <w:p>
            <w:r/>
            <w:r>
              <w:rPr>
                <w:rFonts w:ascii="Calibri" w:hAnsi="Calibri" w:eastAsia="微软雅黑" w:cs="Calibri"/>
                <w:b w:val="0"/>
                <w:i w:val="0"/>
                <w:color w:val="212529"/>
                <w:sz w:val="20"/>
              </w:rPr>
              <w:t>企业审计默认有提交史；这是制度最大的落地缺口之一</w:t>
            </w:r>
          </w:p>
        </w:tc>
      </w:tr>
    </w:tbl>
    <w:p>
      <w:pPr>
        <w:spacing w:after="160"/>
      </w:pPr>
    </w:p>
    <w:p>
      <w:pPr>
        <w:pStyle w:val="Heading1"/>
      </w:pPr>
      <w:r>
        <w:t>10. 验收报告与再生本说明书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权威数字以 stock-quant-system/docs/phase0~4-acceptance-report.md 为准，不要从聊天记录抄。修改手册后可运行：python -m scripts.build_manuals ，输出 docs/manuals/ 下两份 docx。</w:t>
      </w:r>
    </w:p>
    <w:p>
      <w:pPr>
        <w:spacing w:after="160" w:line="360" w:lineRule="auto"/>
      </w:pPr>
      <w:r>
        <w:rPr>
          <w:rFonts w:ascii="Calibri" w:hAnsi="Calibri" w:eastAsia="微软雅黑" w:cs="Calibri"/>
          <w:b w:val="0"/>
          <w:i w:val="0"/>
          <w:color w:val="212529"/>
          <w:sz w:val="22"/>
        </w:rPr>
        <w:t>本说明书与软件同样不构成投资建议。开发者改了评估口径却不改报告，属于违反 quant-dev-loop 闸门 4。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5A626E"/>
        <w:sz w:val="16"/>
      </w:rPr>
      <w:t xml:space="preserve">不构成投资建议  ·  第 </w:t>
    </w:r>
    <w:r>
      <w:rPr>
        <w:rFonts w:ascii="Calibri" w:hAnsi="Calibri" w:eastAsia="微软雅黑" w:cs="Calibri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/>
        <w:color w:val="5A626E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 w:cs="Calibri"/>
        <w:color w:val="5A626E"/>
        <w:sz w:val="16"/>
      </w:rPr>
      <w:t>开发者使用说明书  ·  仅供个人研究辅助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微软雅黑"/>
      <w:color w:val="2125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276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