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1B365D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2"/>
              </w:rPr>
              <w:t>个人量化研究系统  ·  stock-quant-system</w:t>
            </w:r>
          </w:p>
          <w:p>
            <w:r>
              <w:rPr>
                <w:rFonts w:ascii="Calibri" w:hAnsi="Calibri" w:eastAsia="微软雅黑" w:cs="Calibri"/>
                <w:b/>
                <w:i w:val="0"/>
                <w:color w:val="FFFFFF"/>
                <w:sz w:val="52"/>
              </w:rPr>
              <w:t>开发者使用说明书</w:t>
            </w:r>
          </w:p>
          <w:p>
            <w:r>
              <w:rPr>
                <w:rFonts w:ascii="Calibri" w:hAnsi="Calibri" w:eastAsia="微软雅黑" w:cs="Calibri"/>
                <w:b w:val="0"/>
                <w:i w:val="0"/>
                <w:color w:val="D6DEE8"/>
                <w:sz w:val="24"/>
              </w:rPr>
              <w:t>架构 · 运维 · 模型生命周期 · 制度边界 · LLM · 开发 Skill</w:t>
            </w:r>
          </w:p>
        </w:tc>
      </w:tr>
    </w:tbl>
    <w:p/>
    <w:p>
      <w:pPr>
        <w:spacing w:after="40" w:line="360" w:lineRule="auto"/>
      </w:pPr>
      <w:r>
        <w:rPr>
          <w:rFonts w:ascii="Calibri" w:hAnsi="Calibri" w:eastAsia="微软雅黑" w:cs="Calibri"/>
          <w:b w:val="0"/>
          <w:i w:val="0"/>
          <w:color w:val="5A626E"/>
          <w:sz w:val="22"/>
        </w:rPr>
        <w:t>版本 1.1    编写日期 2026-08-26</w:t>
      </w:r>
    </w:p>
    <w:p>
      <w:pPr>
        <w:spacing w:after="40" w:line="360" w:lineRule="auto"/>
      </w:pPr>
      <w:r>
        <w:rPr>
          <w:rFonts w:ascii="Calibri" w:hAnsi="Calibri" w:eastAsia="微软雅黑" w:cs="Calibri"/>
          <w:b w:val="0"/>
          <w:i w:val="0"/>
          <w:color w:val="5A626E"/>
          <w:sz w:val="22"/>
        </w:rPr>
        <w:t>适用对象：维护本仓库的开发者（即系统所有者）</w:t>
      </w:r>
    </w:p>
    <w:p>
      <w:pPr>
        <w:spacing w:after="40" w:line="360" w:lineRule="auto"/>
      </w:pPr>
      <w:r>
        <w:rPr>
          <w:rFonts w:ascii="Calibri" w:hAnsi="Calibri" w:eastAsia="微软雅黑" w:cs="Calibri"/>
          <w:b w:val="0"/>
          <w:i w:val="0"/>
          <w:color w:val="5A626E"/>
          <w:sz w:val="22"/>
        </w:rPr>
        <w:t>强制规则：.cursor/rules/*.mdc 与 .cursor/skills/yanheng-dev-loop/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EF2F2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pPr>
              <w:spacing w:after="80"/>
            </w:pPr>
            <w:r/>
            <w:r>
              <w:rPr>
                <w:rFonts w:ascii="Calibri" w:hAnsi="Calibri" w:eastAsia="微软雅黑" w:cs="Calibri"/>
                <w:b/>
                <w:i w:val="0"/>
                <w:color w:val="1B365D"/>
                <w:sz w:val="22"/>
              </w:rPr>
              <w:t>使用前请先读这一段</w:t>
            </w:r>
          </w:p>
          <w:p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1"/>
              </w:rPr>
              <w:t>本系统全部输出仅供个人研究与学习，不构成投资建议、不承诺收益、不代客理财、不自动下单。最终交易决策及盈亏由使用者自行承担。建议卡片上的动作（减仓/止损/观察等）是规则引擎给出的信息性提示，不是下单指令。</w:t>
            </w:r>
          </w:p>
        </w:tc>
      </w:tr>
    </w:tbl>
    <w:p>
      <w:pPr>
        <w:spacing w:after="120"/>
      </w:pPr>
    </w:p>
    <w:p>
      <w:pPr>
        <w:pStyle w:val="Heading1"/>
      </w:pPr>
      <w:r>
        <w:t>1. 制度是否合理？有没有企业级标准？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结论先说：制度设计合理，对标的是企业级原则，落地的是「个人可重复级」工程，不是券商或对冲基金的生产平台。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你定的两套规则——八闸门研发闭环、八荣八耻、冠军必须同协议打赢才能替换——对应的是公开、可引用的行业实践：ThoughtWorks CD4ML（代码+数据+模型一起版本化，挑战者对照冠军晋升）、CRISP-DM（评估不可跳过）、量化研究里的 Purged K-Fold / Walk-Forward（见理论库 docs/03-量化方法/10-时序验证与标签工程.md）。Phase 3 已经按门禁执行：DL 的 Walk-Forward RankIC 均值 0.1112 显著高于 LightGBM 的 0.0608（p=0.0182），但同口径 Top-30 净收益 Sharpe 0.90 对 1.31，因此未替换冠军。这说明制度不是墙上的字。</w:t>
      </w:r>
    </w:p>
    <w:p>
      <w:pPr>
        <w:pStyle w:val="Heading2"/>
      </w:pPr>
      <w:r>
        <w:t>1.1 和企业级清单逐项对照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1B365D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企业级能力（CD4ML / MLOps）</w:t>
            </w:r>
          </w:p>
        </w:tc>
        <w:tc>
          <w:tcPr>
            <w:tcW w:type="dxa" w:w="3061"/>
            <w:shd w:val="clear" w:color="auto" w:fill="1B365D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本仓库</w:t>
            </w:r>
          </w:p>
        </w:tc>
        <w:tc>
          <w:tcPr>
            <w:tcW w:type="dxa" w:w="3061"/>
            <w:shd w:val="clear" w:color="auto" w:fill="1B365D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差距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实验与模型注册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mlops/registry/&lt;run_id&gt;/ + champion.json + promotion_log.jsonl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无 MLflow 服务器，无多用户实验板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同协议晋升门禁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已实现，DL 未晋升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阈值 0.01 RankIC 带宽是工程拍定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漂移监控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PSI / WF 趋势 / 滚动夏普 / 预留生产 IC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生产 IC 需 ≥20 个交易日，目前不足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数据版本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单文件 DuckDB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无 DVC/lakeFS，无法一键复现「某日仓库」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CI/CD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无自动流水线；GitHub 远程 github.com/DomenRaven/yanheng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没有测试门禁流水线，push 仍手工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模型服务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进程内 pickle + Streamlit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无 REST、无金丝雀、无影子流量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权限与审计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单用户本机，advice_log 可追溯建议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无 RBAC、无操作者身份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公平性/合规持牌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文案层免责 + Won't 清单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不是持牌投顾，不能对客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特征存储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parquet 面板 + DuckDB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不是 Feast 点时特征店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风险模型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历史法 VaR + 简化均值方差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不是 Barra 多因子风险模型</w:t>
            </w:r>
          </w:p>
        </w:tc>
      </w:tr>
    </w:tbl>
    <w:p>
      <w:pPr>
        <w:spacing w:after="160"/>
      </w:pP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成熟度（对照常见 0–4 / 1–5 的 MLOps 梯子）大约在「2：训练与监控可重复，发布仍手工」。原则已经像企业；自动化、数据血统、在线服务、组织流程还差三档。不要用「我们有 CD4ML 文档」对外声称企业级。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若要靠近企业级，优先顺序是：git 远程与提交纪律 → 任务计划跑 daily_pipeline / 周末重训 → 带日期的仓库备份 → 等 prediction_log 够长再启用生产 IC。不要先上微服务。</w:t>
      </w:r>
    </w:p>
    <w:p>
      <w:pPr>
        <w:pStyle w:val="Heading2"/>
      </w:pPr>
      <w:r>
        <w:t>1.2 八闸门使用时的注意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闸门 4「测试与打分」禁止改评估口径来让数字好看。Phase 3 没有把 RankIC 单独当成晋升条件，就是在执行这一条。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闸门 8「微调下一任务」已经发生过：Phase 4 对照产品边界才补上组合优化，并在验收报告里写明「原任务列表未单列」。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八荣八耻第 7 条要求把不确定写出来。各 phase 验收报告的「已知局限」章节是制度的证据，删掉它们等于拆制度。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Agent 执行时加载项目 Skill：.cursor/skills/yanheng-dev-loop/（SKILL.md + eight-gates.md + eight-honors.md）。规则原文禁止改写八荣八耻的八句话。</w:t>
      </w:r>
    </w:p>
    <w:p>
      <w:pPr>
        <w:pStyle w:val="Heading1"/>
      </w:pPr>
      <w:r>
        <w:t>2. 仓库地图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1B365D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目录</w:t>
            </w:r>
          </w:p>
        </w:tc>
        <w:tc>
          <w:tcPr>
            <w:tcW w:type="dxa" w:w="3061"/>
            <w:shd w:val="clear" w:color="auto" w:fill="1B365D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职责</w:t>
            </w:r>
          </w:p>
        </w:tc>
        <w:tc>
          <w:tcPr>
            <w:tcW w:type="dxa" w:w="3061"/>
            <w:shd w:val="clear" w:color="auto" w:fill="1B365D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摸库吗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ingestion/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增量抓取，唯一写仓库的批量入口经 scripts/daily_pipeline.py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写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common/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配置、DuckDB schema、Tushare 客户端、重试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读写基础设施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research/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纯函数因子/标签/验证；panel.py 是 research 里唯一摸库模块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仅 panel/eval/train 读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advice/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扫描 + 建议卡片，不改模型权重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读 + 写 prediction_log/advice_log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behavior/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处置效应/拥挤/情绪代理，只做冲突提示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读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risk/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持仓风险 + 组合优化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读 positions 与行情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llm/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新闻抓取 + 翻译层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不写库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mlops/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重训调度、漂移、registry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读面板/日志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pages/ + app.py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Streamlit UI，禁止在页面里复制业务公式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经上述模块</w:t>
            </w:r>
          </w:p>
        </w:tc>
      </w:tr>
    </w:tbl>
    <w:p>
      <w:pPr>
        <w:spacing w:after="160"/>
      </w:pP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分层约定不要打破：A 股规则以 research/a_share_rules.py 和 limit_price / suspend_calendar 为准；财务用 EAV；DuckDB 单写者，禁止并行写主库。</w:t>
      </w:r>
    </w:p>
    <w:p>
      <w:pPr>
        <w:pStyle w:val="Heading1"/>
      </w:pPr>
      <w:r>
        <w:t>3. 环境与密钥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Python 3.12，虚拟环境 .venv/。新终端用 pip 前设置 $env:PIP_CONFIG_FILE 指向 .venv/pip.ini（系统 pip.ini 编码问题）。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依赖见 requirements.txt。torch 必须用 cu124 索引安装，默认源会装成 CPU 版。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.env（已 gitignore）：TUSHARE_TOKEN、DASHSCOPE_API_KEY。不要提交、不要写进文档示例的真实值。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工作目录必须是 stock-quant-system/，相对路径 data/warehouse.duckdb、mlops/registry 才找得到。</w:t>
      </w:r>
    </w:p>
    <w:p>
      <w:pPr>
        <w:pStyle w:val="Heading1"/>
      </w:pPr>
      <w:r>
        <w:t>4. 日常运维命令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数据层唯一入口：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1B365D"/>
          <w:sz w:val="20"/>
        </w:rPr>
        <w:t>python -m scripts.daily_pipeline</w:t>
        <w:br/>
        <w:t>python -m scripts.daily_pipeline --only quotes,tushare_prices</w:t>
        <w:br/>
        <w:t>python -m scripts.daily_pipeline --skip fundamentals,income_statement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研究与模型：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1B365D"/>
          <w:sz w:val="20"/>
        </w:rPr>
        <w:t>python -m research.panel --start 20160101</w:t>
        <w:br/>
        <w:t>python -m research.factor_eval</w:t>
        <w:br/>
        <w:t>python -m research.train_lightgbm</w:t>
        <w:br/>
        <w:t>python -m research.backtest</w:t>
        <w:br/>
        <w:t>python -m advice.scanner --top-n 50</w:t>
        <w:br/>
        <w:t>python -m mlops.retrain_schedule</w:t>
        <w:br/>
        <w:t>python -m mlops.drift_monitor</w:t>
        <w:br/>
        <w:t>python -m streamlit run app.py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建议用 Windows「任务计划程序」：每个交易日收盘后若干小时跑 daily_pipeline（财务类可每周）；每周末跑 retrain_schedule 与 drift_monitor。脚本本身只做一次原子操作，不内置常驻进程。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7E6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</w:tcPr>
          <w:p>
            <w:pPr>
              <w:spacing w:after="80"/>
            </w:pPr>
            <w:r/>
            <w:r>
              <w:rPr>
                <w:rFonts w:ascii="Calibri" w:hAnsi="Calibri" w:eastAsia="微软雅黑" w:cs="Calibri"/>
                <w:b/>
                <w:i w:val="0"/>
                <w:color w:val="8A5A12"/>
                <w:sz w:val="22"/>
              </w:rPr>
              <w:t>局限 · 数据源与网络</w:t>
            </w:r>
          </w:p>
          <w:p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1"/>
              </w:rPr>
              <w:t>新浪为主、东财为辅；本机代理会导致部分东财接口不稳定。Tushare 2000 积分档仍无 cyq_perf 等权限。单位必须按官方文档换算（vol 手→股、amount 千元→元），Phase 2 已修过一次 100× 事故，新增 Tushare 表时先查档再写。</w:t>
            </w:r>
          </w:p>
        </w:tc>
      </w:tr>
    </w:tbl>
    <w:p>
      <w:pPr>
        <w:spacing w:after="120"/>
      </w:pPr>
    </w:p>
    <w:p>
      <w:pPr>
        <w:pStyle w:val="Heading1"/>
      </w:pPr>
      <w:r>
        <w:t>5. 模型生命周期（你必须守的门）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生产冠军指针：mlops/registry/champion.json，当前为 LightGBM run_id=20260826_123439。scanner 只加载冠军，不加载「文件夹名最新」。挑战者训练后必须用同一套 _date_level_splits、同一套三重障碍标签、同一套 research.backtest.run_portfolio_backtest 对比。只比 RankIC 不够。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晋升记录追加 promotion_log.jsonl。结论可以是「不晋升」。删除挑战者文件等于销毁证据，禁止。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标签与建议阈值必须同源：训练 label_config 为 profit_take=0.08、stop_loss=0.08、horizon 20 日；advice_engine 的止盈止损用同一对数。改一边必须改另一边并重训，否则逻辑分裂。</w:t>
      </w:r>
    </w:p>
    <w:p>
      <w:pPr>
        <w:pStyle w:val="Heading2"/>
      </w:pPr>
      <w:r>
        <w:t>5.1 训练在做什么、怎么防过拟合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生产模型是 LightGBM LambdaRank，不是回归预测涨跌幅。每个月末截面把股票排成相对名次；相关性标签来自三重障碍（先触 +8% / -8% / 最多 20 个交易日），映射到 {0,1,2}。特征是 13 个点时因子；同一天的全部股票必须分在同一折（按日期切分，不是按行随机切）。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标签与特征时间箭头：因子只用截面日及之前；标签看截面日之后最多 20 日路径。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验证：Purged K-Fold + Embargo 防标签区间重叠泄漏；Walk-Forward expanding 才是部署口径（当前 OOS RankIC 均值 0.0608）。Purged K-Fold 会偏高，报告里两套都写、以 WF 为准。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树正则：num_leaves=31、min_child_samples=50、learning_rate=0.05、n_estimators=200；特征 1%/99% 分位缩尾。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回测另加涨跌停/停牌/成本，禁止只用样本内曲线验收。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挑战者（行业图注意力）同协议对比后未晋升：RankIC 更好但 Top-30 净收益更差。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局限：最终生产模型用全历史拟合，OOS 数字来自折内模型；单一 walk-forward 路径、北交所小盘偏好。详见 phase1 报告第 6 节。</w:t>
      </w:r>
    </w:p>
    <w:p>
      <w:pPr>
        <w:pStyle w:val="Heading1"/>
      </w:pPr>
      <w:r>
        <w:t>6. 建议引擎优先级（不要改顺序「优化体验」）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合规与可交易性（停牌 / 涨停买不进 / 跌停卖不出）→ watch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生存风控（-8% 止损、单票 &gt;15%）→ stop_loss / reduce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账户结构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信号质量（+8% 且排名走弱才 take_profit）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收益增强：apply_rebalance_overlay 只能把 hold 升级为 rebalance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单测约定：reduce 不得被优化器覆盖。组合优化失败要吞掉异常，不能阻断主建议。</w:t>
      </w:r>
    </w:p>
    <w:p>
      <w:pPr>
        <w:pStyle w:val="Heading1"/>
      </w:pPr>
      <w:r>
        <w:t>7. 大模型：DeepSeek 还是通义千问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本系统的 LLM 是翻译层，不是决策层。选型标准因此不是「谁更像 GPT」，而是：指令遵守（禁止买卖用语）、不编造输入没有的数字、中文可读、接口稳定、改动能不能局部化。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1B365D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3061"/>
            <w:shd w:val="clear" w:color="auto" w:fill="1B365D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DeepSeek</w:t>
            </w:r>
          </w:p>
        </w:tc>
        <w:tc>
          <w:tcPr>
            <w:tcW w:type="dxa" w:w="3061"/>
            <w:shd w:val="clear" w:color="auto" w:fill="1B365D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通义千问（DashScope，当前默认）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接口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OpenAI 兼容，api.deepseek.com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OpenAI 兼容，dashscope.aliyuncs.com（当前默认）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代码改动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llm/explain_assistant.py 已接好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config.yaml 的 llm.provider=dashscope + DASHSCOPE_API_KEY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任务匹配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遵守系统 prompt 足够；中文偏书面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说明文案通常更顺；当前生产用 qwen-plus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成本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个人点选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按阿里云百炼计费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运维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独立账号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阿里云企业合同、发票更完整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本项目现状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曾为默认，已切换走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2026-08-26 起为默认解释层</w:t>
            </w:r>
          </w:p>
        </w:tc>
      </w:tr>
    </w:tbl>
    <w:p>
      <w:pPr>
        <w:spacing w:after="160"/>
      </w:pP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当前默认是通义千问（DashScope / qwen-plus）。解释质量的上限是输入质量（模型分数、因子、新闻标题），换一个同级中文模型几乎不会改变投资决策。切换提供商：改 config.yaml 的 llm.provider 与 api_key_env，不要复制一套 explain_assistant。价格与限流以官网当天页面为准。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7E6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</w:tcPr>
          <w:p>
            <w:pPr>
              <w:spacing w:after="80"/>
            </w:pPr>
            <w:r/>
            <w:r>
              <w:rPr>
                <w:rFonts w:ascii="Calibri" w:hAnsi="Calibri" w:eastAsia="微软雅黑" w:cs="Calibri"/>
                <w:b/>
                <w:i w:val="0"/>
                <w:color w:val="8A5A12"/>
                <w:sz w:val="22"/>
              </w:rPr>
              <w:t>局限 · LLM</w:t>
            </w:r>
          </w:p>
          <w:p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1"/>
              </w:rPr>
              <w:t>Key 必须使用者自己申请。未配置时必须优雅降级。禁止让 LLM 输出 action 或 pred_score。新闻抓取绕开了 akshare stock_news_em 在本环境 pandas pyarrow 后端上的正则 bug，不要「为了复用」改回那个函数。</w:t>
            </w:r>
          </w:p>
        </w:tc>
      </w:tr>
    </w:tbl>
    <w:p>
      <w:pPr>
        <w:spacing w:after="120"/>
      </w:pPr>
    </w:p>
    <w:p>
      <w:pPr>
        <w:pStyle w:val="Heading1"/>
      </w:pPr>
      <w:r>
        <w:t>8. 如何扩展（保持小步）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新因子：写在 research/factors.py（纯函数），在 panel.py 接入 point-in-time，factor_eval 出 IC，再决定是否进训练特征。禁止直接在 Streamlit 里算因子。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新数据源：先小样本打真实请求核对字段，再进 ingestion/，最后挂上 daily_pipeline 步骤表。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新建议动作：先改 advice_engine 优先级文档字符串和单测，再改 UI 表情映射。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一次只做一个 Phase 量级的改动。跨分层（例如让 llm 写 advice_log 的 action）先写原因。</w:t>
      </w:r>
    </w:p>
    <w:p>
      <w:pPr>
        <w:pStyle w:val="Heading1"/>
      </w:pPr>
      <w:r>
        <w:t>9. 已知局限与刻意不做（开发视角）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1B365D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3061"/>
            <w:shd w:val="clear" w:color="auto" w:fill="1B365D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3061"/>
            <w:shd w:val="clear" w:color="auto" w:fill="1B365D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不要假装已解决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冠军回测净 CAGR / Sharpe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54.7% / 1.31，相对等权超额 p=0.0044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单条 walk-forward、84 个月，过拟合风险仍在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DL 挑战者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RankIC 更好，Top-N 更差，未上线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未做分位加权 loss，原因仍是假设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ST 历史标记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universe.is_st 是当前快照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回测无法完美还原历史 ST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行业/风格中性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组合优化未做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产品 Should 里「中性化」仍部分缺口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券商 API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Won't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不要为了「方便」去接未持牌代下单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git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已推送 github.com/DomenRaven/yanheng（仓库级 user.name）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无 CI；勿提交 .env / duckdb / exe</w:t>
            </w:r>
          </w:p>
        </w:tc>
      </w:tr>
    </w:tbl>
    <w:p>
      <w:pPr>
        <w:spacing w:after="160"/>
      </w:pPr>
    </w:p>
    <w:p>
      <w:pPr>
        <w:pStyle w:val="Heading1"/>
      </w:pPr>
      <w:r>
        <w:t>9a. 一键启动 exe 打包（UI优化里新增）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打包脚本：python scripts/build_exe.py（需先 pip install pyinstaller，仅打包时需要，不是运行时依赖）。产物是项目根目录下的「研衡启动器.exe」，约几MB。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7E6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</w:tcPr>
          <w:p>
            <w:pPr>
              <w:spacing w:after="80"/>
            </w:pPr>
            <w:r/>
            <w:r>
              <w:rPr>
                <w:rFonts w:ascii="Calibri" w:hAnsi="Calibri" w:eastAsia="微软雅黑" w:cs="Calibri"/>
                <w:b/>
                <w:i w:val="0"/>
                <w:color w:val="8A5A12"/>
                <w:sz w:val="22"/>
              </w:rPr>
              <w:t>工程决策：为什么不把整个应用连同 torch/lightgbm/duckdb 一起冻结成单文件exe</w:t>
            </w:r>
          </w:p>
          <w:p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1"/>
              </w:rPr>
              <w:t>PyInstaller把这类含C扩展、体积巨大的库整体冻结进单文件，社区里公认容易踩两类坑：一是产物体积轻松膨胀到数GB且难以精简；二是Streamlit的静态资源、torch的动态库在frozen模式下经常需要额外写hook才能找到，出问题后排查成本很高。因此选择更稳妥的方案：exe只承担“launcher.py”这一段轻量逻辑（找项目目录→调用.venv里的python→跑streamlit→开浏览器），真正的重依赖仍然用开发机上已经装好的.venv，效果同样是双击即用，但不需要为了“看起来更极致”去冒生产稳定性的风险。这是一个明确的工程取舍，不是打包能力不足。</w:t>
            </w:r>
          </w:p>
        </w:tc>
      </w:tr>
    </w:tbl>
    <w:p>
      <w:pPr>
        <w:spacing w:after="120"/>
      </w:pP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launcher.py 逻辑：定位exe所在目录 → 检查 .venv/Scripts/python.exe 和 app.py 是否存在 → 若8501端口已被占用直接打开浏览器（避免重复启动）→ 否则用 .venv 的 python 启动`streamlit run app.py --server.headless true` → 轮询端口最多60秒 → 打开默认浏览器。换新机器分发时，仍需先完整走一遍第3节的环境搭建（python -m venv .venv + pip install -r requirements.txt），exe本身不携带依赖，这是设计如此，不是遗漏。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修改 launcher.py 后需要重新执行 python scripts/build_exe.py 才会反映到exe里；该脚本会自动清理 PyInstaller 产生的中间文件（_dist_tmp/_build_tmp），不需要手动收尾。</w:t>
      </w:r>
    </w:p>
    <w:p>
      <w:pPr>
        <w:pStyle w:val="Heading1"/>
      </w:pPr>
      <w:r>
        <w:t>10. 验收报告与再生本说明书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权威数字以 stock-quant-system/docs/phase0~4-acceptance-report.md 为准，不要从聊天记录抄。修改手册后可运行：python -m scripts.build_manuals ，输出 docs/manuals/ 下用户手册、开发者手册、人工可用性测试指南三份 docx。Agent 开发约束见仓库根目录 .cursor/skills/yanheng-dev-loop/ 。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本说明书与软件同样不构成投资建议。开发者改了评估口径却不改报告，属于违反 quant-dev-loop 闸门 4。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 w:cs="Calibri"/>
        <w:color w:val="5A626E"/>
        <w:sz w:val="16"/>
      </w:rPr>
      <w:t xml:space="preserve">不构成投资建议  ·  第 </w:t>
    </w:r>
    <w:r>
      <w:rPr>
        <w:rFonts w:ascii="Calibri" w:hAnsi="Calibri" w:eastAsia="微软雅黑" w:cs="Calibri"/>
      </w:rPr>
      <w:fldChar w:fldCharType="begin"/>
      <w:instrText xml:space="preserve"> PAGE </w:instrText>
      <w:fldChar w:fldCharType="end"/>
    </w:r>
    <w:r>
      <w:rPr>
        <w:rFonts w:ascii="Calibri" w:hAnsi="Calibri" w:eastAsia="微软雅黑" w:cs="Calibri"/>
        <w:color w:val="5A626E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 w:cs="Calibri"/>
        <w:color w:val="5A626E"/>
        <w:sz w:val="16"/>
      </w:rPr>
      <w:t>开发者使用说明书  ·  仅供个人研究辅助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Calibri" w:hAnsi="Calibri" w:eastAsia="微软雅黑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76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76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