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0000"/>
          <w:sz w:val="46"/>
        </w:rPr>
        <w:t>PALAZZINA RESIDENZIALE 9 PIANI - REPORT FEM</w:t>
      </w:r>
    </w:p>
    <w:p>
      <w:pPr>
        <w:jc w:val="center"/>
      </w:pPr>
      <w:r>
        <w:rPr>
          <w:color w:val="464646"/>
          <w:sz w:val="28"/>
        </w:rPr>
        <w:t>Modellazione ed analisi con report Word tecnico</w:t>
      </w:r>
    </w:p>
    <w:p/>
    <w:p>
      <w:pPr>
        <w:jc w:val="center"/>
      </w:pPr>
      <w:r>
        <w:rPr>
          <w:b/>
        </w:rPr>
        <w:t xml:space="preserve">Committente: </w:t>
      </w:r>
      <w:r>
        <w:t>-</w:t>
      </w:r>
    </w:p>
    <w:p>
      <w:pPr>
        <w:jc w:val="center"/>
      </w:pPr>
      <w:r>
        <w:rPr>
          <w:b/>
        </w:rPr>
        <w:t xml:space="preserve">Commessa: </w:t>
      </w:r>
      <w:r>
        <w:t>-</w:t>
      </w:r>
    </w:p>
    <w:p>
      <w:pPr>
        <w:jc w:val="center"/>
      </w:pPr>
      <w:r>
        <w:rPr>
          <w:b/>
        </w:rPr>
        <w:t xml:space="preserve">Normativa di riferimento: </w:t>
      </w:r>
      <w:r>
        <w:t>NTC 2018 / Eurocodici</w:t>
      </w:r>
    </w:p>
    <w:p>
      <w:pPr>
        <w:jc w:val="center"/>
      </w:pPr>
      <w:r>
        <w:rPr>
          <w:b/>
        </w:rPr>
        <w:t xml:space="preserve">Data: </w:t>
      </w:r>
      <w:r>
        <w:t>02/06/2026</w:t>
      </w:r>
    </w:p>
    <w:p>
      <w:r>
        <w:br w:type="page"/>
      </w:r>
    </w:p>
    <w:p>
      <w:pPr>
        <w:spacing w:before="200" w:after="120"/>
        <w:shd w:fill="3A3A3A" w:val="clear"/>
      </w:pPr>
      <w:r>
        <w:rPr>
          <w:b/>
          <w:color w:val="FFFFFF"/>
          <w:sz w:val="24"/>
        </w:rPr>
        <w:t>Modellazione ed Analisi</w:t>
      </w:r>
    </w:p>
    <w:p>
      <w:pPr>
        <w:spacing w:before="160" w:after="60"/>
      </w:pPr>
      <w:r>
        <w:rPr>
          <w:b/>
          <w:color w:val="000000"/>
          <w:sz w:val="21"/>
        </w:rPr>
        <w:t>1.1 Modellazione</w:t>
      </w:r>
    </w:p>
    <w:p>
      <w:pPr>
        <w:spacing w:before="40" w:after="80"/>
      </w:pPr>
      <w:r>
        <w:rPr>
          <w:b w:val="0"/>
          <w:sz w:val="20"/>
        </w:rPr>
        <w:t>La presente sezione riepiloga la discretizzazione adottata per il modello agli elementi finiti, i vincoli applicati e i casi di carico disponibili.</w:t>
      </w:r>
    </w:p>
    <w:p>
      <w:pPr>
        <w:spacing w:before="40" w:after="80"/>
      </w:pPr>
      <w:r>
        <w:rPr>
          <w:b w:val="0"/>
          <w:sz w:val="20"/>
        </w:rPr>
        <w:t>Il modello FEM e' composto da 120 nodi e 261 elementi trave. I vincoli applicati interessano 72 gradi di liberta'. I load case disponibili sono: G, Q, 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fill="3A3A3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Parametro</w:t>
            </w:r>
          </w:p>
        </w:tc>
        <w:tc>
          <w:tcPr>
            <w:tcW w:type="dxa" w:w="2268"/>
            <w:vAlign w:val="center"/>
            <w:shd w:fill="3A3A3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4819"/>
            <w:vAlign w:val="center"/>
            <w:shd w:fill="3A3A3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Descrizione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Nodi</w:t>
            </w:r>
          </w:p>
        </w:tc>
        <w:tc>
          <w:tcPr>
            <w:tcW w:type="dxa" w:w="2268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120</w:t>
            </w:r>
          </w:p>
        </w:tc>
        <w:tc>
          <w:tcPr>
            <w:tcW w:type="dxa" w:w="4819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Punti di connessione del modello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Elementi</w:t>
            </w:r>
          </w:p>
        </w:tc>
        <w:tc>
          <w:tcPr>
            <w:tcW w:type="dxa" w:w="2268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261</w:t>
            </w:r>
          </w:p>
        </w:tc>
        <w:tc>
          <w:tcPr>
            <w:tcW w:type="dxa" w:w="4819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Elementi trave 3D utilizzati nella discretizzazione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Vincoli</w:t>
            </w:r>
          </w:p>
        </w:tc>
        <w:tc>
          <w:tcPr>
            <w:tcW w:type="dxa" w:w="2268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4819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Gradi di liberta' prescritti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Tipi elemento</w:t>
            </w:r>
          </w:p>
        </w:tc>
        <w:tc>
          <w:tcPr>
            <w:tcW w:type="dxa" w:w="2268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BeamElement3D: 261</w:t>
            </w:r>
          </w:p>
        </w:tc>
        <w:tc>
          <w:tcPr>
            <w:tcW w:type="dxa" w:w="4819"/>
            <w:vAlign w:val="center"/>
            <w:shd w:fill="FAFAFA" w:val="clear"/>
          </w:tcPr>
          <w:p>
            <w:pPr>
              <w:jc w:val="center"/>
            </w:pPr>
            <w:r/>
            <w:r>
              <w:rPr>
                <w:sz w:val="16"/>
              </w:rPr>
              <w:t>Famiglie FEM presenti</w:t>
            </w:r>
          </w:p>
        </w:tc>
      </w:tr>
      <w:tr>
        <w:tc>
          <w:tcPr>
            <w:tcW w:type="dxa" w:w="2268"/>
            <w:vAlign w:val="center"/>
            <w:shd w:fill="E6E6E6" w:val="clear"/>
          </w:tcPr>
          <w:p>
            <w:pPr>
              <w:jc w:val="center"/>
            </w:pPr>
            <w:r/>
            <w:r>
              <w:rPr>
                <w:b/>
                <w:sz w:val="16"/>
              </w:rPr>
              <w:t>Load case</w:t>
            </w:r>
          </w:p>
        </w:tc>
        <w:tc>
          <w:tcPr>
            <w:tcW w:type="dxa" w:w="2268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G, Q, W</w:t>
            </w:r>
          </w:p>
        </w:tc>
        <w:tc>
          <w:tcPr>
            <w:tcW w:type="dxa" w:w="4819"/>
            <w:vAlign w:val="center"/>
            <w:shd w:fill="F0F0F0" w:val="clear"/>
          </w:tcPr>
          <w:p>
            <w:pPr>
              <w:jc w:val="center"/>
            </w:pPr>
            <w:r/>
            <w:r>
              <w:rPr>
                <w:sz w:val="16"/>
              </w:rPr>
              <w:t>Casi di carico definiti</w:t>
            </w:r>
          </w:p>
        </w:tc>
      </w:tr>
    </w:tbl>
    <w:p/>
    <w:p>
      <w:pPr>
        <w:spacing w:before="160" w:after="60"/>
      </w:pPr>
      <w:r>
        <w:rPr>
          <w:b/>
          <w:color w:val="000000"/>
          <w:sz w:val="21"/>
        </w:rPr>
        <w:t>1.1.1 Schema del modello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1.1.1 - Modello FEM con nodi, elementi, numerazioni e vincoli. Nelle viste tridimensionali l'asse Z e' mantenuto verticale.</w:t>
      </w:r>
    </w:p>
    <w:p>
      <w:pPr>
        <w:spacing w:before="160" w:after="60"/>
      </w:pPr>
      <w:r>
        <w:rPr>
          <w:b/>
          <w:color w:val="000000"/>
          <w:sz w:val="21"/>
        </w:rPr>
        <w:t>1.2 Analisi dei carichi</w:t>
      </w:r>
    </w:p>
    <w:p>
      <w:pPr>
        <w:spacing w:before="160" w:after="60"/>
      </w:pPr>
      <w:r>
        <w:rPr>
          <w:b/>
          <w:color w:val="000000"/>
          <w:sz w:val="21"/>
        </w:rPr>
        <w:t>1.2.1 Load case 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1.2.1 - Modello caricato per il load case G.</w:t>
      </w:r>
    </w:p>
    <w:p>
      <w:pPr>
        <w:spacing w:before="160" w:after="60"/>
      </w:pPr>
      <w:r>
        <w:rPr>
          <w:b/>
          <w:color w:val="000000"/>
          <w:sz w:val="21"/>
        </w:rPr>
        <w:t>1.2.2 Load case Q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1.2.2 - Modello caricato per il load case Q.</w:t>
      </w:r>
    </w:p>
    <w:p>
      <w:pPr>
        <w:spacing w:before="160" w:after="60"/>
      </w:pPr>
      <w:r>
        <w:rPr>
          <w:b/>
          <w:color w:val="000000"/>
          <w:sz w:val="21"/>
        </w:rPr>
        <w:t>1.2.3 Load case 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1.2.3 - Modello caricato per il load case W.</w:t>
      </w:r>
    </w:p>
    <w:p>
      <w:pPr>
        <w:spacing w:before="160" w:after="60"/>
      </w:pPr>
      <w:r>
        <w:rPr>
          <w:b/>
          <w:color w:val="000000"/>
          <w:sz w:val="21"/>
        </w:rPr>
        <w:t>1.3 Sollecitazioni e reazioni per load pattern</w:t>
      </w:r>
    </w:p>
    <w:p>
      <w:pPr>
        <w:spacing w:before="160" w:after="60"/>
      </w:pPr>
      <w:r>
        <w:rPr>
          <w:b/>
          <w:color w:val="000000"/>
          <w:sz w:val="21"/>
        </w:rPr>
        <w:t>1.3.1 Load pattern G</w:t>
      </w:r>
    </w:p>
    <w:p>
      <w:pPr>
        <w:spacing w:before="160" w:after="60"/>
      </w:pPr>
      <w:r>
        <w:rPr>
          <w:b/>
          <w:color w:val="000000"/>
          <w:sz w:val="21"/>
        </w:rPr>
        <w:t>1.3.1.1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1.3.1.1 - Deformata del caso Load pattern G;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1.3.1.2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1.3.1.2 - Diagramma della sollecitazione Mz per Load pattern G.</w:t>
      </w:r>
    </w:p>
    <w:p>
      <w:pPr>
        <w:spacing w:before="160" w:after="60"/>
      </w:pPr>
      <w:r>
        <w:rPr>
          <w:b/>
          <w:color w:val="000000"/>
          <w:sz w:val="21"/>
        </w:rPr>
        <w:t>1.3.1.3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1.3.1.3 - Diagramma della sollecitazione Vy per Load pattern G.</w:t>
      </w:r>
    </w:p>
    <w:p>
      <w:pPr>
        <w:spacing w:before="160" w:after="60"/>
      </w:pPr>
      <w:r>
        <w:rPr>
          <w:b/>
          <w:color w:val="000000"/>
          <w:sz w:val="21"/>
        </w:rPr>
        <w:t>1.3.1.4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1.3.1.4 - Diagramma della sollecitazione N per Load pattern G.</w:t>
      </w:r>
    </w:p>
    <w:p>
      <w:pPr>
        <w:spacing w:before="160" w:after="60"/>
      </w:pPr>
      <w:r>
        <w:rPr>
          <w:b/>
          <w:color w:val="000000"/>
          <w:sz w:val="21"/>
        </w:rPr>
        <w:t>1.3.1.5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1.3.1.5 - Reazioni vincolari per Load pattern G.</w:t>
      </w:r>
    </w:p>
    <w:p>
      <w:pPr>
        <w:spacing w:before="160" w:after="60"/>
      </w:pPr>
      <w:r>
        <w:rPr>
          <w:b/>
          <w:color w:val="000000"/>
          <w:sz w:val="21"/>
        </w:rPr>
        <w:t>1.3.2 Load pattern Q</w:t>
      </w:r>
    </w:p>
    <w:p>
      <w:pPr>
        <w:spacing w:before="160" w:after="60"/>
      </w:pPr>
      <w:r>
        <w:rPr>
          <w:b/>
          <w:color w:val="000000"/>
          <w:sz w:val="21"/>
        </w:rPr>
        <w:t>1.3.2.1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1.3.2.1 - Deformata del caso Load pattern Q;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1.3.2.2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1.3.2.2 - Diagramma della sollecitazione Mz per Load pattern Q.</w:t>
      </w:r>
    </w:p>
    <w:p>
      <w:pPr>
        <w:spacing w:before="160" w:after="60"/>
      </w:pPr>
      <w:r>
        <w:rPr>
          <w:b/>
          <w:color w:val="000000"/>
          <w:sz w:val="21"/>
        </w:rPr>
        <w:t>1.3.2.3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1.3.2.3 - Diagramma della sollecitazione Vy per Load pattern Q.</w:t>
      </w:r>
    </w:p>
    <w:p>
      <w:pPr>
        <w:spacing w:before="160" w:after="60"/>
      </w:pPr>
      <w:r>
        <w:rPr>
          <w:b/>
          <w:color w:val="000000"/>
          <w:sz w:val="21"/>
        </w:rPr>
        <w:t>1.3.2.4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1.3.2.4 - Diagramma della sollecitazione N per Load pattern Q.</w:t>
      </w:r>
    </w:p>
    <w:p>
      <w:pPr>
        <w:spacing w:before="160" w:after="60"/>
      </w:pPr>
      <w:r>
        <w:rPr>
          <w:b/>
          <w:color w:val="000000"/>
          <w:sz w:val="21"/>
        </w:rPr>
        <w:t>1.3.2.5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1.3.2.5 - Reazioni vincolari per Load pattern Q.</w:t>
      </w:r>
    </w:p>
    <w:p>
      <w:pPr>
        <w:spacing w:before="160" w:after="60"/>
      </w:pPr>
      <w:r>
        <w:rPr>
          <w:b/>
          <w:color w:val="000000"/>
          <w:sz w:val="21"/>
        </w:rPr>
        <w:t>1.3.3 Load pattern W</w:t>
      </w:r>
    </w:p>
    <w:p>
      <w:pPr>
        <w:spacing w:before="160" w:after="60"/>
      </w:pPr>
      <w:r>
        <w:rPr>
          <w:b/>
          <w:color w:val="000000"/>
          <w:sz w:val="21"/>
        </w:rPr>
        <w:t>1.3.3.1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1.3.3.1 - Deformata del caso Load pattern W;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1.3.3.2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1.3.3.2 - Diagramma della sollecitazione Mz per Load pattern W.</w:t>
      </w:r>
    </w:p>
    <w:p>
      <w:pPr>
        <w:spacing w:before="160" w:after="60"/>
      </w:pPr>
      <w:r>
        <w:rPr>
          <w:b/>
          <w:color w:val="000000"/>
          <w:sz w:val="21"/>
        </w:rPr>
        <w:t>1.3.3.3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1.3.3.3 - Diagramma della sollecitazione Vy per Load pattern W.</w:t>
      </w:r>
    </w:p>
    <w:p>
      <w:pPr>
        <w:spacing w:before="160" w:after="60"/>
      </w:pPr>
      <w:r>
        <w:rPr>
          <w:b/>
          <w:color w:val="000000"/>
          <w:sz w:val="21"/>
        </w:rPr>
        <w:t>1.3.3.4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1.3.3.4 - Diagramma della sollecitazione N per Load pattern W.</w:t>
      </w:r>
    </w:p>
    <w:p>
      <w:pPr>
        <w:spacing w:before="160" w:after="60"/>
      </w:pPr>
      <w:r>
        <w:rPr>
          <w:b/>
          <w:color w:val="000000"/>
          <w:sz w:val="21"/>
        </w:rPr>
        <w:t>1.3.3.5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1.3.3.5 - Reazioni vincolari per Load pattern W.</w:t>
      </w:r>
    </w:p>
    <w:p>
      <w:pPr>
        <w:spacing w:before="160" w:after="60"/>
      </w:pPr>
      <w:r>
        <w:rPr>
          <w:b/>
          <w:color w:val="000000"/>
          <w:sz w:val="21"/>
        </w:rPr>
        <w:t>1.4 Combinazioni</w:t>
      </w:r>
    </w:p>
    <w:p>
      <w:pPr>
        <w:spacing w:before="160" w:after="60"/>
      </w:pPr>
      <w:r>
        <w:rPr>
          <w:b/>
          <w:color w:val="000000"/>
          <w:sz w:val="21"/>
        </w:rPr>
        <w:t>1.4.1 SLU gravitazionale - 1.35G + 1.5Q</w:t>
      </w:r>
    </w:p>
    <w:p>
      <w:pPr>
        <w:spacing w:before="160" w:after="60"/>
      </w:pPr>
      <w:r>
        <w:rPr>
          <w:b/>
          <w:color w:val="000000"/>
          <w:sz w:val="21"/>
        </w:rPr>
        <w:t>1.4.1.1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3219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32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1.4.1.1 - Deformata del caso SLU gravitazionale - 1.35G + 1.5Q;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1.4.1.2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4825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48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1.4.1.2 - Diagramma della sollecitazione Mz per SLU gravitazionale - 1.35G + 1.5Q.</w:t>
      </w:r>
    </w:p>
    <w:p>
      <w:pPr>
        <w:spacing w:before="160" w:after="60"/>
      </w:pPr>
      <w:r>
        <w:rPr>
          <w:b/>
          <w:color w:val="000000"/>
          <w:sz w:val="21"/>
        </w:rPr>
        <w:t>1.4.1.3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5239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52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1.4.1.3 - Diagramma della sollecitazione Vy per SLU gravitazionale - 1.35G + 1.5Q.</w:t>
      </w:r>
    </w:p>
    <w:p>
      <w:pPr>
        <w:spacing w:before="160" w:after="60"/>
      </w:pPr>
      <w:r>
        <w:rPr>
          <w:b/>
          <w:color w:val="000000"/>
          <w:sz w:val="21"/>
        </w:rPr>
        <w:t>1.4.1.4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6731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67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1.4.1.4 - Diagramma della sollecitazione N per SLU gravitazionale - 1.35G + 1.5Q.</w:t>
      </w:r>
    </w:p>
    <w:p>
      <w:pPr>
        <w:spacing w:before="160" w:after="60"/>
      </w:pPr>
      <w:r>
        <w:rPr>
          <w:b/>
          <w:color w:val="000000"/>
          <w:sz w:val="21"/>
        </w:rPr>
        <w:t>1.4.1.5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7060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0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1.4.1.5 - Reazioni vincolari per SLU gravitazionale - 1.35G + 1.5Q.</w:t>
      </w:r>
    </w:p>
    <w:p>
      <w:pPr>
        <w:spacing w:before="160" w:after="60"/>
      </w:pPr>
      <w:r>
        <w:rPr>
          <w:b/>
          <w:color w:val="000000"/>
          <w:sz w:val="21"/>
        </w:rPr>
        <w:t>1.4.2 SLU vento - 1.35G + 1.5Q + 1.5W</w:t>
      </w:r>
    </w:p>
    <w:p>
      <w:pPr>
        <w:spacing w:before="160" w:after="60"/>
      </w:pPr>
      <w:r>
        <w:rPr>
          <w:b/>
          <w:color w:val="000000"/>
          <w:sz w:val="21"/>
        </w:rPr>
        <w:t>1.4.2.1 Deformata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3949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1.4.2.1 - Deformata del caso SLU vento - 1.35G + 1.5Q + 1.5W; e' evidenziato lo spostamento massimo.</w:t>
      </w:r>
    </w:p>
    <w:p>
      <w:pPr>
        <w:spacing w:before="160" w:after="60"/>
      </w:pPr>
      <w:r>
        <w:rPr>
          <w:b/>
          <w:color w:val="000000"/>
          <w:sz w:val="21"/>
        </w:rPr>
        <w:t>1.4.2.2 Sollecitazione Mz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1144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1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1.4.2.2 - Diagramma della sollecitazione Mz per SLU vento - 1.35G + 1.5Q + 1.5W.</w:t>
      </w:r>
    </w:p>
    <w:p>
      <w:pPr>
        <w:spacing w:before="160" w:after="60"/>
      </w:pPr>
      <w:r>
        <w:rPr>
          <w:b/>
          <w:color w:val="000000"/>
          <w:sz w:val="21"/>
        </w:rPr>
        <w:t>1.4.2.3 Sollecitazione Vy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5413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41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1.4.2.3 - Diagramma della sollecitazione Vy per SLU vento - 1.35G + 1.5Q + 1.5W.</w:t>
      </w:r>
    </w:p>
    <w:p>
      <w:pPr>
        <w:spacing w:before="160" w:after="60"/>
      </w:pPr>
      <w:r>
        <w:rPr>
          <w:b/>
          <w:color w:val="000000"/>
          <w:sz w:val="21"/>
        </w:rPr>
        <w:t>1.4.2.4 Sollecitazione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64866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4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1.4.2.4 - Diagramma della sollecitazione N per SLU vento - 1.35G + 1.5Q + 1.5W.</w:t>
      </w:r>
    </w:p>
    <w:p>
      <w:pPr>
        <w:spacing w:before="160" w:after="60"/>
      </w:pPr>
      <w:r>
        <w:rPr>
          <w:b/>
          <w:color w:val="000000"/>
          <w:sz w:val="21"/>
        </w:rPr>
        <w:t>1.4.2.5 Reazioni vincolari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52393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52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7"/>
        </w:rPr>
        <w:t>Figura 1.4.2.5 - Reazioni vincolari per SLU vento - 1.35G + 1.5Q + 1.5W.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beamfeapy - Relazione tecnica FEM - 02/06/2026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Palazzina residenziale 9 piani - Report FEM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